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138F2F" w14:textId="77777777" w:rsidR="00E10501" w:rsidRDefault="00E10501" w:rsidP="00E10501">
      <w:pPr>
        <w:spacing w:line="360" w:lineRule="auto"/>
        <w:jc w:val="center"/>
        <w:rPr>
          <w:b/>
        </w:rPr>
      </w:pPr>
    </w:p>
    <w:p w14:paraId="6368C1E2" w14:textId="77777777" w:rsidR="00E10501" w:rsidRDefault="00E10501" w:rsidP="00E10501">
      <w:pPr>
        <w:spacing w:line="360" w:lineRule="auto"/>
        <w:jc w:val="center"/>
        <w:rPr>
          <w:b/>
        </w:rPr>
      </w:pPr>
    </w:p>
    <w:p w14:paraId="44E2E3B4" w14:textId="77777777" w:rsidR="00E10501" w:rsidRDefault="00E10501" w:rsidP="00E10501">
      <w:pPr>
        <w:spacing w:line="360" w:lineRule="auto"/>
        <w:jc w:val="center"/>
        <w:rPr>
          <w:b/>
        </w:rPr>
      </w:pPr>
    </w:p>
    <w:p w14:paraId="4F4639BF" w14:textId="77777777" w:rsidR="00E10501" w:rsidRDefault="00E10501" w:rsidP="00E10501">
      <w:pPr>
        <w:spacing w:line="360" w:lineRule="auto"/>
        <w:jc w:val="center"/>
        <w:rPr>
          <w:b/>
        </w:rPr>
      </w:pPr>
    </w:p>
    <w:p w14:paraId="5422278E" w14:textId="77777777" w:rsidR="00E10501" w:rsidRDefault="00E10501" w:rsidP="00E10501">
      <w:pPr>
        <w:spacing w:line="360" w:lineRule="auto"/>
        <w:jc w:val="center"/>
        <w:rPr>
          <w:b/>
        </w:rPr>
      </w:pPr>
    </w:p>
    <w:p w14:paraId="3D546441" w14:textId="77777777" w:rsidR="00E10501" w:rsidRDefault="00E10501" w:rsidP="00E10501">
      <w:pPr>
        <w:spacing w:line="360" w:lineRule="auto"/>
        <w:jc w:val="center"/>
        <w:rPr>
          <w:b/>
        </w:rPr>
      </w:pPr>
    </w:p>
    <w:p w14:paraId="6996DA24" w14:textId="77777777" w:rsidR="00E10501" w:rsidRDefault="00E10501" w:rsidP="00E10501">
      <w:pPr>
        <w:spacing w:line="360" w:lineRule="auto"/>
        <w:jc w:val="center"/>
        <w:rPr>
          <w:b/>
        </w:rPr>
      </w:pPr>
    </w:p>
    <w:p w14:paraId="5B3B90AF" w14:textId="77777777" w:rsidR="00E10501" w:rsidRDefault="00E10501" w:rsidP="00E10501">
      <w:pPr>
        <w:spacing w:line="360" w:lineRule="auto"/>
        <w:jc w:val="center"/>
        <w:rPr>
          <w:b/>
        </w:rPr>
      </w:pPr>
    </w:p>
    <w:p w14:paraId="0FA70CB0" w14:textId="77777777" w:rsidR="00F253F6" w:rsidRPr="00F058B1" w:rsidRDefault="00F253F6" w:rsidP="00E10501">
      <w:pPr>
        <w:spacing w:line="360" w:lineRule="auto"/>
        <w:jc w:val="center"/>
        <w:rPr>
          <w:b/>
        </w:rPr>
      </w:pPr>
      <w:r w:rsidRPr="00F058B1">
        <w:rPr>
          <w:b/>
        </w:rPr>
        <w:t xml:space="preserve">IN THE MATTER OF AN APPLICATION TO REGISTER LAND KNOWN AS </w:t>
      </w:r>
      <w:r>
        <w:rPr>
          <w:b/>
        </w:rPr>
        <w:t xml:space="preserve">KNOWLE, SIDMOUTH </w:t>
      </w:r>
      <w:r w:rsidRPr="00F058B1">
        <w:rPr>
          <w:b/>
        </w:rPr>
        <w:t>AS A NEW TOWN OR VILLAGE GREEN</w:t>
      </w:r>
      <w:r>
        <w:rPr>
          <w:b/>
        </w:rPr>
        <w:t xml:space="preserve"> (REF: NEWLAND 49)</w:t>
      </w:r>
    </w:p>
    <w:p w14:paraId="169E7170" w14:textId="77777777" w:rsidR="00F253F6" w:rsidRPr="00843C3A" w:rsidRDefault="00F253F6" w:rsidP="00F253F6">
      <w:pPr>
        <w:pBdr>
          <w:bottom w:val="single" w:sz="6" w:space="1" w:color="auto"/>
        </w:pBdr>
        <w:spacing w:line="360" w:lineRule="auto"/>
        <w:jc w:val="center"/>
        <w:rPr>
          <w:rFonts w:cs="Arial"/>
          <w:b/>
        </w:rPr>
      </w:pPr>
    </w:p>
    <w:p w14:paraId="5772A3B0" w14:textId="77777777" w:rsidR="00F253F6" w:rsidRPr="00843C3A" w:rsidRDefault="00F253F6" w:rsidP="00F253F6">
      <w:pPr>
        <w:spacing w:line="360" w:lineRule="auto"/>
        <w:jc w:val="center"/>
        <w:rPr>
          <w:rFonts w:cs="Arial"/>
          <w:b/>
          <w:i/>
        </w:rPr>
      </w:pPr>
    </w:p>
    <w:p w14:paraId="63FE7425" w14:textId="77777777" w:rsidR="00F253F6" w:rsidRDefault="00F253F6" w:rsidP="00F253F6">
      <w:pPr>
        <w:spacing w:line="360" w:lineRule="auto"/>
        <w:jc w:val="center"/>
        <w:rPr>
          <w:rFonts w:cs="Arial"/>
          <w:b/>
        </w:rPr>
      </w:pPr>
      <w:r>
        <w:rPr>
          <w:rFonts w:cs="Arial"/>
          <w:b/>
        </w:rPr>
        <w:t xml:space="preserve">REPORT OF THE INSPECTOR ON THE ISSUES </w:t>
      </w:r>
    </w:p>
    <w:p w14:paraId="33BAAE25" w14:textId="77777777" w:rsidR="00F253F6" w:rsidRDefault="00F253F6" w:rsidP="00F253F6">
      <w:pPr>
        <w:spacing w:line="360" w:lineRule="auto"/>
        <w:jc w:val="center"/>
        <w:rPr>
          <w:rFonts w:cs="Arial"/>
          <w:b/>
        </w:rPr>
      </w:pPr>
      <w:r>
        <w:rPr>
          <w:rFonts w:cs="Arial"/>
          <w:b/>
        </w:rPr>
        <w:t>IDENTIFIED FOR PRELIMINARY TREATMENT</w:t>
      </w:r>
    </w:p>
    <w:p w14:paraId="1BB7A134" w14:textId="77777777" w:rsidR="00F253F6" w:rsidRDefault="00F253F6" w:rsidP="00F253F6">
      <w:pPr>
        <w:spacing w:line="360" w:lineRule="auto"/>
        <w:jc w:val="center"/>
        <w:rPr>
          <w:rFonts w:cs="Arial"/>
          <w:b/>
        </w:rPr>
      </w:pPr>
    </w:p>
    <w:p w14:paraId="6EB0009C" w14:textId="77777777" w:rsidR="00F253F6" w:rsidRDefault="00F253F6" w:rsidP="00F253F6">
      <w:pPr>
        <w:spacing w:line="360" w:lineRule="auto"/>
        <w:jc w:val="center"/>
        <w:rPr>
          <w:rFonts w:cs="Arial"/>
          <w:b/>
        </w:rPr>
      </w:pPr>
      <w:r>
        <w:rPr>
          <w:rFonts w:cs="Arial"/>
          <w:b/>
        </w:rPr>
        <w:t xml:space="preserve">MR PAUL WILMSHURST </w:t>
      </w:r>
    </w:p>
    <w:p w14:paraId="3B8E0D50" w14:textId="77777777" w:rsidR="00D8195D" w:rsidRDefault="00D8195D" w:rsidP="00F253F6">
      <w:pPr>
        <w:spacing w:line="360" w:lineRule="auto"/>
        <w:jc w:val="center"/>
        <w:rPr>
          <w:rFonts w:cs="Arial"/>
          <w:b/>
        </w:rPr>
      </w:pPr>
    </w:p>
    <w:p w14:paraId="53A187C5" w14:textId="76E280A8" w:rsidR="00D8195D" w:rsidRDefault="00D8195D" w:rsidP="00F253F6">
      <w:pPr>
        <w:spacing w:line="360" w:lineRule="auto"/>
        <w:jc w:val="center"/>
        <w:rPr>
          <w:rFonts w:cs="Arial"/>
          <w:b/>
        </w:rPr>
      </w:pPr>
      <w:r>
        <w:rPr>
          <w:rFonts w:cs="Arial"/>
          <w:b/>
        </w:rPr>
        <w:t>5 JUNE 2014</w:t>
      </w:r>
    </w:p>
    <w:p w14:paraId="71144DC4" w14:textId="77777777" w:rsidR="00F253F6" w:rsidRPr="00843C3A" w:rsidRDefault="00F253F6" w:rsidP="00F253F6">
      <w:pPr>
        <w:pBdr>
          <w:bottom w:val="single" w:sz="6" w:space="1" w:color="auto"/>
        </w:pBdr>
        <w:spacing w:line="360" w:lineRule="auto"/>
        <w:jc w:val="both"/>
        <w:rPr>
          <w:rFonts w:cs="Arial"/>
          <w:b/>
        </w:rPr>
      </w:pPr>
    </w:p>
    <w:p w14:paraId="53562970" w14:textId="77777777" w:rsidR="00E20A65" w:rsidRDefault="00E20A65">
      <w:pPr>
        <w:rPr>
          <w:b/>
        </w:rPr>
      </w:pPr>
    </w:p>
    <w:p w14:paraId="2B8083B5" w14:textId="77777777" w:rsidR="00E20A65" w:rsidRDefault="00E20A65">
      <w:pPr>
        <w:rPr>
          <w:b/>
        </w:rPr>
      </w:pPr>
    </w:p>
    <w:p w14:paraId="7C497E4F" w14:textId="77777777" w:rsidR="00E20A65" w:rsidRDefault="00E20A65">
      <w:pPr>
        <w:rPr>
          <w:b/>
        </w:rPr>
      </w:pPr>
    </w:p>
    <w:p w14:paraId="2A7F8873" w14:textId="77777777" w:rsidR="00E20A65" w:rsidRDefault="00E20A65">
      <w:pPr>
        <w:rPr>
          <w:b/>
        </w:rPr>
      </w:pPr>
    </w:p>
    <w:p w14:paraId="79A25F0B" w14:textId="77777777" w:rsidR="00E20A65" w:rsidRDefault="00E20A65">
      <w:pPr>
        <w:rPr>
          <w:b/>
        </w:rPr>
      </w:pPr>
    </w:p>
    <w:p w14:paraId="6D7D03EB" w14:textId="77777777" w:rsidR="00E20A65" w:rsidRDefault="00E20A65" w:rsidP="00E20A65">
      <w:pPr>
        <w:rPr>
          <w:b/>
        </w:rPr>
      </w:pPr>
    </w:p>
    <w:p w14:paraId="700C46DA" w14:textId="77777777" w:rsidR="00E20A65" w:rsidRDefault="00E20A65" w:rsidP="00E20A65">
      <w:pPr>
        <w:rPr>
          <w:b/>
        </w:rPr>
      </w:pPr>
    </w:p>
    <w:p w14:paraId="05D92AA2" w14:textId="7F065A2F" w:rsidR="00E20A65" w:rsidRDefault="00E20A65" w:rsidP="00E20A65">
      <w:pPr>
        <w:jc w:val="center"/>
        <w:rPr>
          <w:b/>
        </w:rPr>
      </w:pPr>
      <w:r>
        <w:rPr>
          <w:rFonts w:cs="Arial"/>
          <w:b/>
        </w:rPr>
        <w:t xml:space="preserve">APPLICATION NO: </w:t>
      </w:r>
      <w:r w:rsidR="006876F8">
        <w:rPr>
          <w:rFonts w:cs="Arial"/>
          <w:b/>
        </w:rPr>
        <w:t>NEW LAND 49</w:t>
      </w:r>
    </w:p>
    <w:p w14:paraId="77453774" w14:textId="77777777" w:rsidR="00E20A65" w:rsidRDefault="00E20A65" w:rsidP="00E20A65">
      <w:pPr>
        <w:rPr>
          <w:b/>
        </w:rPr>
      </w:pPr>
    </w:p>
    <w:p w14:paraId="356D5C98" w14:textId="77777777" w:rsidR="00E20A65" w:rsidRDefault="00E20A65" w:rsidP="00E20A65">
      <w:pPr>
        <w:rPr>
          <w:b/>
        </w:rPr>
      </w:pPr>
    </w:p>
    <w:p w14:paraId="3F860C02" w14:textId="77777777" w:rsidR="00E20A65" w:rsidRDefault="00E20A65" w:rsidP="00E20A65">
      <w:pPr>
        <w:rPr>
          <w:b/>
        </w:rPr>
      </w:pPr>
    </w:p>
    <w:p w14:paraId="14878BEF" w14:textId="77777777" w:rsidR="00E20A65" w:rsidRDefault="00E20A65" w:rsidP="00E20A65">
      <w:pPr>
        <w:rPr>
          <w:b/>
        </w:rPr>
      </w:pPr>
    </w:p>
    <w:p w14:paraId="2F10162F" w14:textId="77777777" w:rsidR="00E20A65" w:rsidRDefault="00E20A65" w:rsidP="00E20A65">
      <w:pPr>
        <w:rPr>
          <w:b/>
        </w:rPr>
      </w:pPr>
    </w:p>
    <w:p w14:paraId="172FD20F" w14:textId="77777777" w:rsidR="00E20A65" w:rsidRDefault="00E20A65" w:rsidP="00E20A65">
      <w:pPr>
        <w:rPr>
          <w:b/>
        </w:rPr>
      </w:pPr>
    </w:p>
    <w:p w14:paraId="209A39C8" w14:textId="77777777" w:rsidR="00E20A65" w:rsidRDefault="00E20A65" w:rsidP="00E20A65">
      <w:pPr>
        <w:rPr>
          <w:b/>
        </w:rPr>
      </w:pPr>
    </w:p>
    <w:p w14:paraId="57A76733" w14:textId="77777777" w:rsidR="00E20A65" w:rsidRDefault="00E20A65" w:rsidP="00E20A65">
      <w:pPr>
        <w:rPr>
          <w:b/>
        </w:rPr>
      </w:pPr>
    </w:p>
    <w:p w14:paraId="4C2EFC8C" w14:textId="77777777" w:rsidR="00E20A65" w:rsidRDefault="00E20A65" w:rsidP="00E20A65">
      <w:pPr>
        <w:rPr>
          <w:b/>
        </w:rPr>
      </w:pPr>
    </w:p>
    <w:p w14:paraId="419B6BB7" w14:textId="77777777" w:rsidR="00E20A65" w:rsidRDefault="00E20A65" w:rsidP="00E20A65">
      <w:pPr>
        <w:rPr>
          <w:b/>
        </w:rPr>
      </w:pPr>
    </w:p>
    <w:p w14:paraId="028011B1" w14:textId="77777777" w:rsidR="00E20A65" w:rsidRDefault="00E20A65" w:rsidP="00E20A65">
      <w:pPr>
        <w:rPr>
          <w:b/>
        </w:rPr>
      </w:pPr>
    </w:p>
    <w:p w14:paraId="06336E59" w14:textId="77777777" w:rsidR="00E20A65" w:rsidRDefault="00E20A65" w:rsidP="00E20A65">
      <w:pPr>
        <w:rPr>
          <w:b/>
        </w:rPr>
      </w:pPr>
    </w:p>
    <w:p w14:paraId="686C851C" w14:textId="581D0CB3" w:rsidR="003724DB" w:rsidRPr="00F058B1" w:rsidRDefault="003724DB" w:rsidP="001963F6">
      <w:pPr>
        <w:spacing w:line="360" w:lineRule="auto"/>
        <w:rPr>
          <w:b/>
        </w:rPr>
      </w:pPr>
      <w:r w:rsidRPr="00F058B1">
        <w:rPr>
          <w:b/>
        </w:rPr>
        <w:t xml:space="preserve">IN THE MATTER OF AN APPLICATION TO REGISTER LAND KNOWN AS </w:t>
      </w:r>
      <w:r>
        <w:rPr>
          <w:b/>
        </w:rPr>
        <w:t xml:space="preserve">KNOWLE, SIDMOUTH </w:t>
      </w:r>
      <w:r w:rsidRPr="00F058B1">
        <w:rPr>
          <w:b/>
        </w:rPr>
        <w:t>AS A NEW TOWN OR VILLAGE GREEN</w:t>
      </w:r>
      <w:r>
        <w:rPr>
          <w:b/>
        </w:rPr>
        <w:t xml:space="preserve"> (REF: NEWLAND 49)</w:t>
      </w:r>
    </w:p>
    <w:p w14:paraId="263B7716" w14:textId="77777777" w:rsidR="003724DB" w:rsidRPr="00843C3A" w:rsidRDefault="003724DB" w:rsidP="001963F6">
      <w:pPr>
        <w:pBdr>
          <w:bottom w:val="single" w:sz="6" w:space="1" w:color="auto"/>
        </w:pBdr>
        <w:spacing w:line="360" w:lineRule="auto"/>
        <w:jc w:val="center"/>
        <w:rPr>
          <w:rFonts w:cs="Arial"/>
          <w:b/>
        </w:rPr>
      </w:pPr>
    </w:p>
    <w:p w14:paraId="525460C1" w14:textId="77777777" w:rsidR="003724DB" w:rsidRPr="00843C3A" w:rsidRDefault="003724DB" w:rsidP="001963F6">
      <w:pPr>
        <w:spacing w:line="360" w:lineRule="auto"/>
        <w:jc w:val="center"/>
        <w:rPr>
          <w:rFonts w:cs="Arial"/>
          <w:b/>
          <w:i/>
        </w:rPr>
      </w:pPr>
    </w:p>
    <w:p w14:paraId="0A10BD2F" w14:textId="3ED73C22" w:rsidR="003724DB" w:rsidRDefault="003724DB" w:rsidP="001963F6">
      <w:pPr>
        <w:spacing w:line="360" w:lineRule="auto"/>
        <w:jc w:val="center"/>
        <w:rPr>
          <w:rFonts w:cs="Arial"/>
          <w:b/>
        </w:rPr>
      </w:pPr>
      <w:r>
        <w:rPr>
          <w:rFonts w:cs="Arial"/>
          <w:b/>
        </w:rPr>
        <w:t>REPORT OF THE INSPECTOR</w:t>
      </w:r>
      <w:r w:rsidR="00E6186C">
        <w:rPr>
          <w:rFonts w:cs="Arial"/>
          <w:b/>
        </w:rPr>
        <w:t xml:space="preserve"> </w:t>
      </w:r>
      <w:r>
        <w:rPr>
          <w:rFonts w:cs="Arial"/>
          <w:b/>
        </w:rPr>
        <w:t xml:space="preserve">ON THE ISSUES </w:t>
      </w:r>
    </w:p>
    <w:p w14:paraId="3F366B39" w14:textId="77777777" w:rsidR="003724DB" w:rsidRDefault="003724DB" w:rsidP="001963F6">
      <w:pPr>
        <w:spacing w:line="360" w:lineRule="auto"/>
        <w:jc w:val="center"/>
        <w:rPr>
          <w:rFonts w:cs="Arial"/>
          <w:b/>
        </w:rPr>
      </w:pPr>
      <w:r>
        <w:rPr>
          <w:rFonts w:cs="Arial"/>
          <w:b/>
        </w:rPr>
        <w:t>IDENTIFIED FOR PRELIMINARY TREATMENT</w:t>
      </w:r>
    </w:p>
    <w:p w14:paraId="25BC378F" w14:textId="77777777" w:rsidR="003724DB" w:rsidRDefault="003724DB" w:rsidP="001963F6">
      <w:pPr>
        <w:spacing w:line="360" w:lineRule="auto"/>
        <w:jc w:val="center"/>
        <w:rPr>
          <w:rFonts w:cs="Arial"/>
          <w:b/>
        </w:rPr>
      </w:pPr>
    </w:p>
    <w:p w14:paraId="40AC3839" w14:textId="77777777" w:rsidR="003724DB" w:rsidRDefault="003724DB" w:rsidP="001963F6">
      <w:pPr>
        <w:spacing w:line="360" w:lineRule="auto"/>
        <w:jc w:val="center"/>
        <w:rPr>
          <w:rFonts w:cs="Arial"/>
          <w:b/>
        </w:rPr>
      </w:pPr>
      <w:r>
        <w:rPr>
          <w:rFonts w:cs="Arial"/>
          <w:b/>
        </w:rPr>
        <w:t xml:space="preserve">MR PAUL WILMSHURST </w:t>
      </w:r>
    </w:p>
    <w:p w14:paraId="29F5C34B" w14:textId="77777777" w:rsidR="003724DB" w:rsidRPr="00843C3A" w:rsidRDefault="003724DB" w:rsidP="001963F6">
      <w:pPr>
        <w:pBdr>
          <w:bottom w:val="single" w:sz="6" w:space="1" w:color="auto"/>
        </w:pBdr>
        <w:spacing w:line="360" w:lineRule="auto"/>
        <w:jc w:val="both"/>
        <w:rPr>
          <w:rFonts w:cs="Arial"/>
          <w:b/>
        </w:rPr>
      </w:pPr>
    </w:p>
    <w:p w14:paraId="0CCF2668" w14:textId="77777777" w:rsidR="006862CC" w:rsidRDefault="006862CC" w:rsidP="00B00241">
      <w:pPr>
        <w:pStyle w:val="BodyText"/>
        <w:spacing w:line="360" w:lineRule="auto"/>
        <w:jc w:val="both"/>
      </w:pPr>
    </w:p>
    <w:p w14:paraId="7B54D388" w14:textId="0201286C" w:rsidR="006862CC" w:rsidRPr="006862CC" w:rsidRDefault="006862CC" w:rsidP="00B00241">
      <w:pPr>
        <w:pStyle w:val="BodyText"/>
        <w:spacing w:line="360" w:lineRule="auto"/>
        <w:jc w:val="both"/>
      </w:pPr>
      <w:r>
        <w:rPr>
          <w:b/>
        </w:rPr>
        <w:t>INTRODUCTION</w:t>
      </w:r>
      <w:r w:rsidR="003724DB" w:rsidRPr="006862CC">
        <w:rPr>
          <w:rFonts w:cs="Arial"/>
          <w:bCs/>
        </w:rPr>
        <w:t xml:space="preserve"> </w:t>
      </w:r>
    </w:p>
    <w:p w14:paraId="44185CBC" w14:textId="085F8E96" w:rsidR="005C2B11" w:rsidRPr="006862CC" w:rsidRDefault="00812AFA" w:rsidP="00B00241">
      <w:pPr>
        <w:pStyle w:val="BodyText"/>
        <w:numPr>
          <w:ilvl w:val="0"/>
          <w:numId w:val="1"/>
        </w:numPr>
        <w:spacing w:line="360" w:lineRule="auto"/>
        <w:jc w:val="both"/>
      </w:pPr>
      <w:r>
        <w:rPr>
          <w:rFonts w:cs="Arial"/>
          <w:bCs/>
        </w:rPr>
        <w:t>On 10/12/2012 an</w:t>
      </w:r>
      <w:r w:rsidR="005C2B11">
        <w:rPr>
          <w:rFonts w:cs="Arial"/>
          <w:bCs/>
        </w:rPr>
        <w:t xml:space="preserve"> application was made by the Knowle Residents’ Association (“the Applicant”) to Devon County Council (“the Registration Authority”) to register land described as “Knowle, Sidmouth” as a new town or village green pursuant to s.15(2) of the Commons Act 2006 (“the 2006 Act”). </w:t>
      </w:r>
      <w:r w:rsidR="0082689E">
        <w:rPr>
          <w:rFonts w:cs="Arial"/>
          <w:bCs/>
        </w:rPr>
        <w:t xml:space="preserve">East Devon District Council (“the Objector”) is the </w:t>
      </w:r>
      <w:r w:rsidR="00EB40B8">
        <w:rPr>
          <w:rFonts w:cs="Arial"/>
          <w:bCs/>
        </w:rPr>
        <w:t xml:space="preserve">registered </w:t>
      </w:r>
      <w:r w:rsidR="0082689E">
        <w:rPr>
          <w:rFonts w:cs="Arial"/>
          <w:bCs/>
        </w:rPr>
        <w:t>owner of the freehold</w:t>
      </w:r>
      <w:r w:rsidR="00EB40B8">
        <w:rPr>
          <w:rStyle w:val="FootnoteReference"/>
          <w:rFonts w:cs="Arial"/>
          <w:bCs/>
        </w:rPr>
        <w:footnoteReference w:id="1"/>
      </w:r>
      <w:r w:rsidR="0082689E">
        <w:rPr>
          <w:rFonts w:cs="Arial"/>
          <w:bCs/>
        </w:rPr>
        <w:t xml:space="preserve"> </w:t>
      </w:r>
      <w:r w:rsidR="004A17AD">
        <w:rPr>
          <w:rFonts w:cs="Arial"/>
          <w:bCs/>
        </w:rPr>
        <w:t xml:space="preserve">and </w:t>
      </w:r>
      <w:r w:rsidR="0082689E">
        <w:rPr>
          <w:rFonts w:cs="Arial"/>
          <w:bCs/>
        </w:rPr>
        <w:t>objected to the application</w:t>
      </w:r>
      <w:r w:rsidR="00DF4F3C">
        <w:rPr>
          <w:rFonts w:cs="Arial"/>
          <w:bCs/>
        </w:rPr>
        <w:t xml:space="preserve">. </w:t>
      </w:r>
    </w:p>
    <w:p w14:paraId="67D16996" w14:textId="301E92BB" w:rsidR="00DA6917" w:rsidRPr="00DA6917" w:rsidRDefault="00F85A57" w:rsidP="00B00241">
      <w:pPr>
        <w:pStyle w:val="BodyText"/>
        <w:numPr>
          <w:ilvl w:val="0"/>
          <w:numId w:val="1"/>
        </w:numPr>
        <w:spacing w:line="360" w:lineRule="auto"/>
        <w:jc w:val="both"/>
      </w:pPr>
      <w:r>
        <w:rPr>
          <w:rFonts w:cs="Arial"/>
          <w:bCs/>
        </w:rPr>
        <w:t xml:space="preserve">Sidmouth is a town, </w:t>
      </w:r>
      <w:r w:rsidR="005F3A22">
        <w:rPr>
          <w:rFonts w:cs="Arial"/>
          <w:bCs/>
        </w:rPr>
        <w:t xml:space="preserve">a </w:t>
      </w:r>
      <w:proofErr w:type="gramStart"/>
      <w:r>
        <w:rPr>
          <w:rFonts w:cs="Arial"/>
          <w:bCs/>
        </w:rPr>
        <w:t>well known</w:t>
      </w:r>
      <w:proofErr w:type="gramEnd"/>
      <w:r>
        <w:rPr>
          <w:rFonts w:cs="Arial"/>
          <w:bCs/>
        </w:rPr>
        <w:t xml:space="preserve"> tourist resort, situated on the Devon Coast</w:t>
      </w:r>
      <w:r w:rsidR="005115C9">
        <w:rPr>
          <w:rFonts w:cs="Arial"/>
          <w:bCs/>
        </w:rPr>
        <w:t xml:space="preserve">. </w:t>
      </w:r>
      <w:r w:rsidR="00A337FE">
        <w:rPr>
          <w:rFonts w:cs="Arial"/>
          <w:bCs/>
        </w:rPr>
        <w:t>“</w:t>
      </w:r>
      <w:r w:rsidR="00A25118" w:rsidRPr="00A25118">
        <w:rPr>
          <w:rFonts w:cs="Arial"/>
          <w:bCs/>
        </w:rPr>
        <w:t>The Knowle</w:t>
      </w:r>
      <w:r w:rsidR="00A337FE">
        <w:rPr>
          <w:rFonts w:cs="Arial"/>
          <w:bCs/>
        </w:rPr>
        <w:t>”</w:t>
      </w:r>
      <w:r w:rsidR="00A25118" w:rsidRPr="00A25118">
        <w:rPr>
          <w:rFonts w:cs="Arial"/>
          <w:bCs/>
        </w:rPr>
        <w:t xml:space="preserve"> is</w:t>
      </w:r>
      <w:r w:rsidR="00763451">
        <w:rPr>
          <w:rFonts w:cs="Arial"/>
          <w:bCs/>
        </w:rPr>
        <w:t xml:space="preserve">, as the evidence to which I shall refer later </w:t>
      </w:r>
      <w:r w:rsidR="001566FF">
        <w:rPr>
          <w:rFonts w:cs="Arial"/>
          <w:bCs/>
        </w:rPr>
        <w:t xml:space="preserve">conclusively </w:t>
      </w:r>
      <w:r w:rsidR="00763451">
        <w:rPr>
          <w:rFonts w:cs="Arial"/>
          <w:bCs/>
        </w:rPr>
        <w:t>shows,</w:t>
      </w:r>
      <w:r w:rsidR="00A25118">
        <w:rPr>
          <w:rFonts w:cs="Arial"/>
          <w:bCs/>
        </w:rPr>
        <w:t xml:space="preserve"> the </w:t>
      </w:r>
      <w:r w:rsidR="001F5DC6">
        <w:rPr>
          <w:rFonts w:cs="Arial"/>
          <w:bCs/>
        </w:rPr>
        <w:t xml:space="preserve">widely used </w:t>
      </w:r>
      <w:r w:rsidR="00A25118">
        <w:rPr>
          <w:rFonts w:cs="Arial"/>
          <w:bCs/>
        </w:rPr>
        <w:t xml:space="preserve">common name for </w:t>
      </w:r>
      <w:r w:rsidR="00E964F0">
        <w:rPr>
          <w:rFonts w:cs="Arial"/>
          <w:bCs/>
        </w:rPr>
        <w:t xml:space="preserve">the application land </w:t>
      </w:r>
      <w:r w:rsidR="00A25118">
        <w:rPr>
          <w:rFonts w:cs="Arial"/>
          <w:bCs/>
        </w:rPr>
        <w:t xml:space="preserve">together with the office buildings that </w:t>
      </w:r>
      <w:r w:rsidR="00A25118" w:rsidRPr="00A25118">
        <w:rPr>
          <w:rFonts w:cs="Arial"/>
          <w:bCs/>
        </w:rPr>
        <w:t xml:space="preserve">currently </w:t>
      </w:r>
      <w:r w:rsidR="00A25118">
        <w:rPr>
          <w:rFonts w:cs="Arial"/>
          <w:bCs/>
        </w:rPr>
        <w:t xml:space="preserve">serve as </w:t>
      </w:r>
      <w:r w:rsidR="00A25118" w:rsidRPr="00A25118">
        <w:rPr>
          <w:rFonts w:cs="Arial"/>
          <w:bCs/>
        </w:rPr>
        <w:t xml:space="preserve">the headquarters of the </w:t>
      </w:r>
      <w:r w:rsidR="00B40A5D">
        <w:rPr>
          <w:rFonts w:cs="Arial"/>
          <w:bCs/>
        </w:rPr>
        <w:t>Objector</w:t>
      </w:r>
      <w:r w:rsidR="009E73A4">
        <w:rPr>
          <w:rFonts w:cs="Arial"/>
          <w:bCs/>
        </w:rPr>
        <w:t>.</w:t>
      </w:r>
      <w:r w:rsidR="002152F9">
        <w:rPr>
          <w:rFonts w:cs="Arial"/>
          <w:bCs/>
        </w:rPr>
        <w:t xml:space="preserve"> </w:t>
      </w:r>
      <w:r w:rsidR="00091CD2">
        <w:rPr>
          <w:rFonts w:cs="Arial"/>
          <w:bCs/>
        </w:rPr>
        <w:t>The</w:t>
      </w:r>
      <w:r w:rsidR="00091CD2" w:rsidRPr="00901062">
        <w:rPr>
          <w:rFonts w:cs="Arial"/>
          <w:bCs/>
        </w:rPr>
        <w:t xml:space="preserve"> Knowle is a relatively large site, about a 10-minute walk from the sea front</w:t>
      </w:r>
      <w:r w:rsidR="006931C1">
        <w:rPr>
          <w:rFonts w:cs="Arial"/>
          <w:bCs/>
        </w:rPr>
        <w:t xml:space="preserve"> and bounded by Station Road, Knowle Drive and Broadway.</w:t>
      </w:r>
      <w:r w:rsidR="00091CD2">
        <w:rPr>
          <w:rFonts w:cs="Arial"/>
          <w:bCs/>
        </w:rPr>
        <w:t xml:space="preserve"> </w:t>
      </w:r>
      <w:r w:rsidR="00091CD2" w:rsidRPr="00901062">
        <w:rPr>
          <w:rFonts w:cs="Arial"/>
          <w:bCs/>
        </w:rPr>
        <w:t xml:space="preserve"> </w:t>
      </w:r>
      <w:r w:rsidR="006C0A46">
        <w:rPr>
          <w:rFonts w:cs="Arial"/>
          <w:bCs/>
        </w:rPr>
        <w:t xml:space="preserve">On a sunny Devon </w:t>
      </w:r>
      <w:r w:rsidR="008933B8">
        <w:rPr>
          <w:rFonts w:cs="Arial"/>
          <w:bCs/>
        </w:rPr>
        <w:t xml:space="preserve">day it is a </w:t>
      </w:r>
      <w:r w:rsidR="00FF62AE">
        <w:rPr>
          <w:rFonts w:cs="Arial"/>
          <w:bCs/>
        </w:rPr>
        <w:t>very</w:t>
      </w:r>
      <w:r w:rsidR="008933B8">
        <w:rPr>
          <w:rFonts w:cs="Arial"/>
          <w:bCs/>
        </w:rPr>
        <w:t xml:space="preserve"> pleasant place to be.</w:t>
      </w:r>
      <w:r w:rsidR="00584755">
        <w:rPr>
          <w:rFonts w:cs="Arial"/>
          <w:bCs/>
        </w:rPr>
        <w:t xml:space="preserve"> </w:t>
      </w:r>
      <w:r w:rsidR="008D4E30">
        <w:rPr>
          <w:rFonts w:cs="Arial"/>
          <w:bCs/>
        </w:rPr>
        <w:t>The Objector’s office</w:t>
      </w:r>
      <w:r w:rsidR="00EE71B6">
        <w:rPr>
          <w:rFonts w:cs="Arial"/>
          <w:bCs/>
        </w:rPr>
        <w:t>s</w:t>
      </w:r>
      <w:r w:rsidR="008D4E30">
        <w:rPr>
          <w:rFonts w:cs="Arial"/>
          <w:bCs/>
        </w:rPr>
        <w:t xml:space="preserve"> sit on top of a hill with a formally set out gard</w:t>
      </w:r>
      <w:r w:rsidR="000C4AC4">
        <w:rPr>
          <w:rFonts w:cs="Arial"/>
          <w:bCs/>
        </w:rPr>
        <w:t>en area to the south.</w:t>
      </w:r>
      <w:r w:rsidR="005B3A36">
        <w:rPr>
          <w:rFonts w:cs="Arial"/>
          <w:bCs/>
        </w:rPr>
        <w:t xml:space="preserve"> </w:t>
      </w:r>
      <w:r w:rsidR="000C4AC4">
        <w:rPr>
          <w:rFonts w:cs="Arial"/>
          <w:bCs/>
        </w:rPr>
        <w:t xml:space="preserve">It is possible to walk through </w:t>
      </w:r>
      <w:r w:rsidR="006660F9">
        <w:rPr>
          <w:rFonts w:cs="Arial"/>
          <w:bCs/>
        </w:rPr>
        <w:t xml:space="preserve">this more formally set out area on a </w:t>
      </w:r>
      <w:r w:rsidR="00A73A55">
        <w:rPr>
          <w:rFonts w:cs="Arial"/>
          <w:bCs/>
        </w:rPr>
        <w:t>path that leads to Knowle Drive. Along the way there is, to the west of the path</w:t>
      </w:r>
      <w:r w:rsidR="003E6904">
        <w:rPr>
          <w:rFonts w:cs="Arial"/>
          <w:bCs/>
        </w:rPr>
        <w:t xml:space="preserve">, a reasonably sized works area used by the Objector for </w:t>
      </w:r>
      <w:r w:rsidR="006A4DE5">
        <w:rPr>
          <w:rFonts w:cs="Arial"/>
          <w:bCs/>
        </w:rPr>
        <w:t>maintenance</w:t>
      </w:r>
      <w:r w:rsidR="003E6904">
        <w:rPr>
          <w:rFonts w:cs="Arial"/>
          <w:bCs/>
        </w:rPr>
        <w:t xml:space="preserve"> of the land.</w:t>
      </w:r>
      <w:r w:rsidR="00697CA9">
        <w:rPr>
          <w:rFonts w:cs="Arial"/>
          <w:bCs/>
        </w:rPr>
        <w:t xml:space="preserve"> When leaving the office buildings, to the immediate south, there are steps to enable walkers to descend down 3 levels of terraced lawn.</w:t>
      </w:r>
      <w:r w:rsidR="005255C2">
        <w:rPr>
          <w:rFonts w:cs="Arial"/>
          <w:bCs/>
        </w:rPr>
        <w:t xml:space="preserve"> The lawns lead out towards the west and wrap around the office buildings </w:t>
      </w:r>
      <w:r w:rsidR="005255C2">
        <w:rPr>
          <w:rFonts w:cs="Arial"/>
          <w:bCs/>
        </w:rPr>
        <w:lastRenderedPageBreak/>
        <w:t>somewhat.</w:t>
      </w:r>
      <w:r w:rsidR="00697CA9">
        <w:rPr>
          <w:rFonts w:cs="Arial"/>
          <w:bCs/>
        </w:rPr>
        <w:t xml:space="preserve"> </w:t>
      </w:r>
      <w:r w:rsidR="00226081">
        <w:rPr>
          <w:rFonts w:cs="Arial"/>
          <w:bCs/>
        </w:rPr>
        <w:t xml:space="preserve">This </w:t>
      </w:r>
      <w:r w:rsidR="0032406A">
        <w:rPr>
          <w:rFonts w:cs="Arial"/>
          <w:bCs/>
        </w:rPr>
        <w:t>top section</w:t>
      </w:r>
      <w:r w:rsidR="00226081">
        <w:rPr>
          <w:rFonts w:cs="Arial"/>
          <w:bCs/>
        </w:rPr>
        <w:t xml:space="preserve"> of this </w:t>
      </w:r>
      <w:r w:rsidR="00582719">
        <w:rPr>
          <w:rFonts w:cs="Arial"/>
          <w:bCs/>
        </w:rPr>
        <w:t xml:space="preserve">terraced lawn </w:t>
      </w:r>
      <w:r w:rsidR="00226081">
        <w:rPr>
          <w:rFonts w:cs="Arial"/>
          <w:bCs/>
        </w:rPr>
        <w:t>area will be referred to later as the “raised lawn are</w:t>
      </w:r>
      <w:r w:rsidR="00C55935">
        <w:rPr>
          <w:rFonts w:cs="Arial"/>
          <w:bCs/>
        </w:rPr>
        <w:t>a</w:t>
      </w:r>
      <w:r w:rsidR="00226081">
        <w:rPr>
          <w:rFonts w:cs="Arial"/>
          <w:bCs/>
        </w:rPr>
        <w:t>” or the “upper lawns.”</w:t>
      </w:r>
      <w:r w:rsidR="00435807">
        <w:rPr>
          <w:rFonts w:cs="Arial"/>
          <w:bCs/>
        </w:rPr>
        <w:t xml:space="preserve"> </w:t>
      </w:r>
      <w:r w:rsidR="006D4CCF">
        <w:rPr>
          <w:rFonts w:cs="Arial"/>
          <w:bCs/>
        </w:rPr>
        <w:t xml:space="preserve"> </w:t>
      </w:r>
      <w:r w:rsidR="00BC00FC">
        <w:rPr>
          <w:rFonts w:cs="Arial"/>
          <w:bCs/>
        </w:rPr>
        <w:t xml:space="preserve"> </w:t>
      </w:r>
      <w:r w:rsidR="00226081">
        <w:rPr>
          <w:rFonts w:cs="Arial"/>
          <w:bCs/>
        </w:rPr>
        <w:t xml:space="preserve"> </w:t>
      </w:r>
    </w:p>
    <w:p w14:paraId="6FE4E830" w14:textId="1FEFE1D5" w:rsidR="00A31896" w:rsidRPr="00A31896" w:rsidRDefault="00E12AAA" w:rsidP="00B00241">
      <w:pPr>
        <w:pStyle w:val="BodyText"/>
        <w:numPr>
          <w:ilvl w:val="0"/>
          <w:numId w:val="1"/>
        </w:numPr>
        <w:spacing w:line="360" w:lineRule="auto"/>
        <w:jc w:val="both"/>
      </w:pPr>
      <w:r w:rsidRPr="00901062">
        <w:rPr>
          <w:rFonts w:cs="Arial"/>
          <w:bCs/>
        </w:rPr>
        <w:t>A</w:t>
      </w:r>
      <w:r w:rsidR="00197EF5" w:rsidRPr="00901062">
        <w:rPr>
          <w:rFonts w:cs="Arial"/>
          <w:bCs/>
        </w:rPr>
        <w:t xml:space="preserve"> row of tree</w:t>
      </w:r>
      <w:r w:rsidR="008D333F" w:rsidRPr="00901062">
        <w:rPr>
          <w:rFonts w:cs="Arial"/>
          <w:bCs/>
        </w:rPr>
        <w:t xml:space="preserve">s and an embankment </w:t>
      </w:r>
      <w:r w:rsidR="00684C4C" w:rsidRPr="00901062">
        <w:rPr>
          <w:rFonts w:cs="Arial"/>
          <w:bCs/>
        </w:rPr>
        <w:t>separate</w:t>
      </w:r>
      <w:r w:rsidR="008D333F" w:rsidRPr="00901062">
        <w:rPr>
          <w:rFonts w:cs="Arial"/>
          <w:bCs/>
        </w:rPr>
        <w:t xml:space="preserve"> </w:t>
      </w:r>
      <w:r w:rsidR="00927DDB" w:rsidRPr="00901062">
        <w:rPr>
          <w:rFonts w:cs="Arial"/>
          <w:bCs/>
        </w:rPr>
        <w:t>this</w:t>
      </w:r>
      <w:r w:rsidR="008D333F" w:rsidRPr="00901062">
        <w:rPr>
          <w:rFonts w:cs="Arial"/>
          <w:bCs/>
        </w:rPr>
        <w:t xml:space="preserve"> formally set out area and the cou</w:t>
      </w:r>
      <w:r w:rsidR="000A5590" w:rsidRPr="00901062">
        <w:rPr>
          <w:rFonts w:cs="Arial"/>
          <w:bCs/>
        </w:rPr>
        <w:t>ncil offices from a much larger</w:t>
      </w:r>
      <w:r w:rsidR="0058052F">
        <w:rPr>
          <w:rFonts w:cs="Arial"/>
          <w:bCs/>
        </w:rPr>
        <w:t xml:space="preserve"> flat grassy area</w:t>
      </w:r>
      <w:r w:rsidR="000A5590" w:rsidRPr="00901062">
        <w:rPr>
          <w:rFonts w:cs="Arial"/>
          <w:bCs/>
        </w:rPr>
        <w:t xml:space="preserve"> to </w:t>
      </w:r>
      <w:r w:rsidR="00EB756A">
        <w:rPr>
          <w:rFonts w:cs="Arial"/>
          <w:bCs/>
        </w:rPr>
        <w:t>the east</w:t>
      </w:r>
      <w:r w:rsidR="00FA0289">
        <w:rPr>
          <w:rFonts w:cs="Arial"/>
          <w:bCs/>
        </w:rPr>
        <w:t xml:space="preserve"> bounded by Station Road. </w:t>
      </w:r>
      <w:r w:rsidR="00B37156">
        <w:rPr>
          <w:rFonts w:cs="Arial"/>
          <w:bCs/>
        </w:rPr>
        <w:t xml:space="preserve">There is a vehicular access on Station Road in the north of the Knowle. From here </w:t>
      </w:r>
      <w:r w:rsidR="00D51DF2">
        <w:rPr>
          <w:rFonts w:cs="Arial"/>
          <w:bCs/>
        </w:rPr>
        <w:t>as one drives in and up</w:t>
      </w:r>
      <w:r w:rsidR="0030432C">
        <w:rPr>
          <w:rFonts w:cs="Arial"/>
          <w:bCs/>
        </w:rPr>
        <w:t xml:space="preserve"> a considerable incline</w:t>
      </w:r>
      <w:r w:rsidR="00B37156">
        <w:rPr>
          <w:rFonts w:cs="Arial"/>
          <w:bCs/>
        </w:rPr>
        <w:t xml:space="preserve"> to the office</w:t>
      </w:r>
      <w:r w:rsidR="00786B16">
        <w:rPr>
          <w:rFonts w:cs="Arial"/>
          <w:bCs/>
        </w:rPr>
        <w:t>s</w:t>
      </w:r>
      <w:r w:rsidR="00B37156">
        <w:rPr>
          <w:rFonts w:cs="Arial"/>
          <w:bCs/>
        </w:rPr>
        <w:t>, there is currently a small car park ar</w:t>
      </w:r>
      <w:r w:rsidR="00A35EF2">
        <w:rPr>
          <w:rFonts w:cs="Arial"/>
          <w:bCs/>
        </w:rPr>
        <w:t>ea near to the entrance</w:t>
      </w:r>
      <w:r w:rsidR="006403B8">
        <w:rPr>
          <w:rFonts w:cs="Arial"/>
          <w:bCs/>
        </w:rPr>
        <w:t xml:space="preserve"> (in a southern direction)</w:t>
      </w:r>
      <w:r w:rsidR="00605788">
        <w:rPr>
          <w:rFonts w:cs="Arial"/>
          <w:bCs/>
        </w:rPr>
        <w:t xml:space="preserve"> </w:t>
      </w:r>
      <w:r w:rsidR="00A35EF2">
        <w:rPr>
          <w:rFonts w:cs="Arial"/>
          <w:bCs/>
        </w:rPr>
        <w:t>and then</w:t>
      </w:r>
      <w:r w:rsidR="00CA3571">
        <w:rPr>
          <w:rFonts w:cs="Arial"/>
          <w:bCs/>
        </w:rPr>
        <w:t xml:space="preserve"> a much larger car parking area further along the road. </w:t>
      </w:r>
      <w:r w:rsidR="004718AB">
        <w:rPr>
          <w:rFonts w:cs="Arial"/>
          <w:bCs/>
        </w:rPr>
        <w:t xml:space="preserve">There is also </w:t>
      </w:r>
      <w:r w:rsidR="006876F8">
        <w:rPr>
          <w:rFonts w:cs="Arial"/>
          <w:bCs/>
        </w:rPr>
        <w:t xml:space="preserve">a </w:t>
      </w:r>
      <w:r w:rsidR="004718AB">
        <w:rPr>
          <w:rFonts w:cs="Arial"/>
          <w:bCs/>
        </w:rPr>
        <w:t xml:space="preserve">hard-standing car parking space near to the offices themselves, between the </w:t>
      </w:r>
      <w:r w:rsidR="00BC21E1">
        <w:rPr>
          <w:rFonts w:cs="Arial"/>
          <w:bCs/>
        </w:rPr>
        <w:t>offices</w:t>
      </w:r>
      <w:r w:rsidR="004718AB">
        <w:rPr>
          <w:rFonts w:cs="Arial"/>
          <w:bCs/>
        </w:rPr>
        <w:t xml:space="preserve"> and the embankment leading down to the large grassy area.</w:t>
      </w:r>
      <w:r w:rsidR="00E67883">
        <w:rPr>
          <w:rFonts w:cs="Arial"/>
          <w:bCs/>
        </w:rPr>
        <w:t xml:space="preserve"> </w:t>
      </w:r>
      <w:r w:rsidR="009336E7">
        <w:rPr>
          <w:rFonts w:cs="Arial"/>
          <w:bCs/>
        </w:rPr>
        <w:t>There a</w:t>
      </w:r>
      <w:r w:rsidR="00E03BF9">
        <w:rPr>
          <w:rFonts w:cs="Arial"/>
          <w:bCs/>
        </w:rPr>
        <w:t>re a number of</w:t>
      </w:r>
      <w:r w:rsidR="009336E7">
        <w:rPr>
          <w:rFonts w:cs="Arial"/>
          <w:bCs/>
        </w:rPr>
        <w:t xml:space="preserve"> good plan</w:t>
      </w:r>
      <w:r w:rsidR="004408FA">
        <w:rPr>
          <w:rFonts w:cs="Arial"/>
          <w:bCs/>
        </w:rPr>
        <w:t>s</w:t>
      </w:r>
      <w:r w:rsidR="009336E7">
        <w:rPr>
          <w:rFonts w:cs="Arial"/>
          <w:bCs/>
        </w:rPr>
        <w:t xml:space="preserve"> of the Knowle that </w:t>
      </w:r>
      <w:r w:rsidR="00237D60">
        <w:rPr>
          <w:rFonts w:cs="Arial"/>
          <w:bCs/>
        </w:rPr>
        <w:t>have</w:t>
      </w:r>
      <w:r w:rsidR="009336E7">
        <w:rPr>
          <w:rFonts w:cs="Arial"/>
          <w:bCs/>
        </w:rPr>
        <w:t xml:space="preserve"> been produced by the Objector.</w:t>
      </w:r>
      <w:r w:rsidR="00BC0EA7">
        <w:rPr>
          <w:rStyle w:val="FootnoteReference"/>
          <w:rFonts w:cs="Arial"/>
          <w:bCs/>
        </w:rPr>
        <w:footnoteReference w:id="2"/>
      </w:r>
      <w:r w:rsidR="004718AB">
        <w:rPr>
          <w:rFonts w:cs="Arial"/>
          <w:bCs/>
        </w:rPr>
        <w:t xml:space="preserve"> </w:t>
      </w:r>
      <w:r w:rsidR="00B37156">
        <w:rPr>
          <w:rFonts w:cs="Arial"/>
          <w:bCs/>
        </w:rPr>
        <w:t xml:space="preserve"> </w:t>
      </w:r>
      <w:r w:rsidR="00DB2242" w:rsidRPr="00901062">
        <w:rPr>
          <w:rFonts w:cs="Arial"/>
          <w:bCs/>
        </w:rPr>
        <w:t xml:space="preserve"> </w:t>
      </w:r>
    </w:p>
    <w:p w14:paraId="1D0F589D" w14:textId="0E1A9934" w:rsidR="006B3C11" w:rsidRPr="00227CA4" w:rsidRDefault="006974CA" w:rsidP="00B00241">
      <w:pPr>
        <w:pStyle w:val="BodyText"/>
        <w:numPr>
          <w:ilvl w:val="0"/>
          <w:numId w:val="1"/>
        </w:numPr>
        <w:spacing w:line="360" w:lineRule="auto"/>
        <w:jc w:val="both"/>
      </w:pPr>
      <w:r>
        <w:rPr>
          <w:rFonts w:cs="Arial"/>
          <w:bCs/>
        </w:rPr>
        <w:t xml:space="preserve">The site </w:t>
      </w:r>
      <w:r w:rsidR="00BF24F0">
        <w:rPr>
          <w:rFonts w:cs="Arial"/>
          <w:bCs/>
        </w:rPr>
        <w:t>as a whole</w:t>
      </w:r>
      <w:r w:rsidR="004032A0">
        <w:rPr>
          <w:rFonts w:cs="Arial"/>
          <w:bCs/>
        </w:rPr>
        <w:t xml:space="preserve"> is of some historical interest</w:t>
      </w:r>
      <w:r w:rsidR="006464C4">
        <w:rPr>
          <w:rFonts w:cs="Arial"/>
          <w:bCs/>
        </w:rPr>
        <w:t>. There</w:t>
      </w:r>
      <w:r w:rsidR="006A6EFC">
        <w:rPr>
          <w:rFonts w:cs="Arial"/>
          <w:bCs/>
        </w:rPr>
        <w:t xml:space="preserve"> was first a thatched 40 room </w:t>
      </w:r>
      <w:r w:rsidR="00572D3D">
        <w:rPr>
          <w:rFonts w:cs="Arial"/>
          <w:bCs/>
        </w:rPr>
        <w:t xml:space="preserve">“marine villa” built on the site in </w:t>
      </w:r>
      <w:r w:rsidR="00572D3D">
        <w:rPr>
          <w:rFonts w:cs="Arial"/>
          <w:bCs/>
          <w:i/>
        </w:rPr>
        <w:t>circa</w:t>
      </w:r>
      <w:r w:rsidR="00572D3D">
        <w:rPr>
          <w:rFonts w:cs="Arial"/>
          <w:bCs/>
        </w:rPr>
        <w:t xml:space="preserve"> </w:t>
      </w:r>
      <w:r w:rsidR="002E592E">
        <w:rPr>
          <w:rFonts w:cs="Arial"/>
          <w:bCs/>
        </w:rPr>
        <w:t>1805 under the supervision of Thomas Stapleton the 6</w:t>
      </w:r>
      <w:r w:rsidR="002E592E" w:rsidRPr="002E592E">
        <w:rPr>
          <w:rFonts w:cs="Arial"/>
          <w:bCs/>
          <w:vertAlign w:val="superscript"/>
        </w:rPr>
        <w:t>th</w:t>
      </w:r>
      <w:r w:rsidR="00E26DB0">
        <w:rPr>
          <w:rFonts w:cs="Arial"/>
          <w:bCs/>
        </w:rPr>
        <w:t xml:space="preserve"> Lord le </w:t>
      </w:r>
      <w:proofErr w:type="spellStart"/>
      <w:r w:rsidR="00E26DB0">
        <w:rPr>
          <w:rFonts w:cs="Arial"/>
          <w:bCs/>
        </w:rPr>
        <w:t>Despencer</w:t>
      </w:r>
      <w:proofErr w:type="spellEnd"/>
      <w:r w:rsidR="00E26DB0">
        <w:rPr>
          <w:rFonts w:cs="Arial"/>
          <w:bCs/>
        </w:rPr>
        <w:t>.</w:t>
      </w:r>
      <w:r w:rsidR="007843E8">
        <w:rPr>
          <w:rFonts w:cs="Arial"/>
          <w:bCs/>
        </w:rPr>
        <w:t xml:space="preserve"> </w:t>
      </w:r>
      <w:r w:rsidR="00587369">
        <w:rPr>
          <w:rFonts w:cs="Arial"/>
          <w:bCs/>
        </w:rPr>
        <w:t xml:space="preserve">In </w:t>
      </w:r>
      <w:r w:rsidR="00507B16">
        <w:rPr>
          <w:rFonts w:cs="Arial"/>
          <w:bCs/>
        </w:rPr>
        <w:t xml:space="preserve">1880 the grounds and the house (which had been developed from its earlier origins) </w:t>
      </w:r>
      <w:r w:rsidR="00B94DE1">
        <w:rPr>
          <w:rFonts w:cs="Arial"/>
          <w:bCs/>
        </w:rPr>
        <w:t xml:space="preserve">were purchased by the Knowle Hotel </w:t>
      </w:r>
      <w:r w:rsidR="00657A09">
        <w:rPr>
          <w:rFonts w:cs="Arial"/>
          <w:bCs/>
        </w:rPr>
        <w:t>and Baths Co</w:t>
      </w:r>
      <w:r w:rsidR="000F2C18">
        <w:rPr>
          <w:rFonts w:cs="Arial"/>
          <w:bCs/>
        </w:rPr>
        <w:t>mpany</w:t>
      </w:r>
      <w:r w:rsidR="002205D2">
        <w:rPr>
          <w:rFonts w:cs="Arial"/>
          <w:bCs/>
        </w:rPr>
        <w:t xml:space="preserve">. The site was then operated as a hotel </w:t>
      </w:r>
      <w:r w:rsidR="00D43EEB">
        <w:rPr>
          <w:rFonts w:cs="Arial"/>
          <w:bCs/>
        </w:rPr>
        <w:t>until</w:t>
      </w:r>
      <w:r w:rsidR="002205D2">
        <w:rPr>
          <w:rFonts w:cs="Arial"/>
          <w:bCs/>
        </w:rPr>
        <w:t xml:space="preserve"> it was</w:t>
      </w:r>
      <w:r w:rsidR="00D43EEB">
        <w:rPr>
          <w:rFonts w:cs="Arial"/>
          <w:bCs/>
        </w:rPr>
        <w:t xml:space="preserve"> purchased by the Sidmouth Urban District Council </w:t>
      </w:r>
      <w:r w:rsidR="0069786D">
        <w:rPr>
          <w:rFonts w:cs="Arial"/>
          <w:bCs/>
        </w:rPr>
        <w:t xml:space="preserve">in 1968 </w:t>
      </w:r>
      <w:r w:rsidR="00D5527F">
        <w:rPr>
          <w:rFonts w:cs="Arial"/>
          <w:bCs/>
        </w:rPr>
        <w:t xml:space="preserve">and the buildings </w:t>
      </w:r>
      <w:r w:rsidR="009044C6">
        <w:rPr>
          <w:rFonts w:cs="Arial"/>
          <w:bCs/>
        </w:rPr>
        <w:t xml:space="preserve">were </w:t>
      </w:r>
      <w:r w:rsidR="001C5054">
        <w:rPr>
          <w:rFonts w:cs="Arial"/>
          <w:bCs/>
        </w:rPr>
        <w:t>thereafter</w:t>
      </w:r>
      <w:r w:rsidR="00D5527F">
        <w:rPr>
          <w:rFonts w:cs="Arial"/>
          <w:bCs/>
        </w:rPr>
        <w:t xml:space="preserve"> used</w:t>
      </w:r>
      <w:r w:rsidR="00A16DFB">
        <w:rPr>
          <w:rFonts w:cs="Arial"/>
          <w:bCs/>
        </w:rPr>
        <w:t xml:space="preserve"> as council offices for the </w:t>
      </w:r>
      <w:r w:rsidR="002A34A4">
        <w:rPr>
          <w:rFonts w:cs="Arial"/>
          <w:bCs/>
        </w:rPr>
        <w:t xml:space="preserve">Sidmouth Urban District Council. After </w:t>
      </w:r>
      <w:r w:rsidR="00A16DFB">
        <w:rPr>
          <w:rFonts w:cs="Arial"/>
          <w:bCs/>
        </w:rPr>
        <w:t xml:space="preserve">the 1974 reorganisation </w:t>
      </w:r>
      <w:r w:rsidR="001C2467">
        <w:rPr>
          <w:rFonts w:cs="Arial"/>
          <w:bCs/>
        </w:rPr>
        <w:t>of</w:t>
      </w:r>
      <w:r w:rsidR="00864B0D">
        <w:rPr>
          <w:rFonts w:cs="Arial"/>
          <w:bCs/>
        </w:rPr>
        <w:t xml:space="preserve"> local government the office buildings were </w:t>
      </w:r>
      <w:r w:rsidR="007476F4">
        <w:rPr>
          <w:rFonts w:cs="Arial"/>
          <w:bCs/>
        </w:rPr>
        <w:t>opened</w:t>
      </w:r>
      <w:r w:rsidR="00864B0D">
        <w:rPr>
          <w:rFonts w:cs="Arial"/>
          <w:bCs/>
        </w:rPr>
        <w:t xml:space="preserve"> as the headquarters for the Objector</w:t>
      </w:r>
      <w:r w:rsidR="00271842">
        <w:rPr>
          <w:rFonts w:cs="Arial"/>
          <w:bCs/>
        </w:rPr>
        <w:t xml:space="preserve"> and this use continues to the present time</w:t>
      </w:r>
      <w:r w:rsidR="00A16DFB">
        <w:rPr>
          <w:rFonts w:cs="Arial"/>
          <w:bCs/>
        </w:rPr>
        <w:t>.</w:t>
      </w:r>
      <w:r w:rsidR="004E5EA6">
        <w:rPr>
          <w:rStyle w:val="FootnoteReference"/>
          <w:rFonts w:cs="Arial"/>
          <w:bCs/>
        </w:rPr>
        <w:footnoteReference w:id="3"/>
      </w:r>
      <w:r w:rsidR="007518B2">
        <w:rPr>
          <w:rFonts w:cs="Arial"/>
          <w:bCs/>
        </w:rPr>
        <w:t xml:space="preserve"> </w:t>
      </w:r>
    </w:p>
    <w:p w14:paraId="796098F3" w14:textId="22C8E2ED" w:rsidR="00227CA4" w:rsidRPr="006B3C11" w:rsidRDefault="00B72ABF" w:rsidP="00B00241">
      <w:pPr>
        <w:pStyle w:val="BodyText"/>
        <w:numPr>
          <w:ilvl w:val="0"/>
          <w:numId w:val="1"/>
        </w:numPr>
        <w:spacing w:line="360" w:lineRule="auto"/>
        <w:jc w:val="both"/>
      </w:pPr>
      <w:r>
        <w:rPr>
          <w:rFonts w:cs="Arial"/>
          <w:bCs/>
        </w:rPr>
        <w:t xml:space="preserve">The </w:t>
      </w:r>
      <w:r w:rsidR="00BB3971">
        <w:rPr>
          <w:rFonts w:cs="Arial"/>
          <w:bCs/>
        </w:rPr>
        <w:t xml:space="preserve">Applicant’s </w:t>
      </w:r>
      <w:r w:rsidR="00FF1634">
        <w:rPr>
          <w:rFonts w:cs="Arial"/>
          <w:bCs/>
        </w:rPr>
        <w:t>original application sought to register as a green nearly all of the land at the Knowle, save for the office buildings and small pieces of la</w:t>
      </w:r>
      <w:r w:rsidR="006E563C">
        <w:rPr>
          <w:rFonts w:cs="Arial"/>
          <w:bCs/>
        </w:rPr>
        <w:t>nd in and around those buildings.</w:t>
      </w:r>
      <w:r w:rsidR="00DB2F1A">
        <w:rPr>
          <w:rStyle w:val="FootnoteReference"/>
          <w:rFonts w:cs="Arial"/>
          <w:bCs/>
        </w:rPr>
        <w:footnoteReference w:id="4"/>
      </w:r>
    </w:p>
    <w:p w14:paraId="612E2CF4" w14:textId="70105310" w:rsidR="008419D4" w:rsidRPr="008419D4" w:rsidRDefault="00B20365" w:rsidP="00B00241">
      <w:pPr>
        <w:pStyle w:val="BodyText"/>
        <w:numPr>
          <w:ilvl w:val="0"/>
          <w:numId w:val="1"/>
        </w:numPr>
        <w:spacing w:line="360" w:lineRule="auto"/>
        <w:jc w:val="both"/>
      </w:pPr>
      <w:r>
        <w:rPr>
          <w:rFonts w:cs="Arial"/>
          <w:bCs/>
        </w:rPr>
        <w:t>Subsequent to the application I</w:t>
      </w:r>
      <w:r w:rsidR="007C46C3">
        <w:rPr>
          <w:rFonts w:cs="Arial"/>
          <w:bCs/>
        </w:rPr>
        <w:t xml:space="preserve"> was</w:t>
      </w:r>
      <w:r w:rsidR="005C2B11" w:rsidRPr="005C2B11">
        <w:rPr>
          <w:rFonts w:cs="Arial"/>
          <w:bCs/>
        </w:rPr>
        <w:t xml:space="preserve"> instructed on two occasions to advise the Registration</w:t>
      </w:r>
      <w:r w:rsidR="005C2B11">
        <w:rPr>
          <w:rFonts w:cs="Arial"/>
          <w:bCs/>
        </w:rPr>
        <w:t xml:space="preserve"> Authority on various matters arising out the application. I produce</w:t>
      </w:r>
      <w:r w:rsidR="001A5E75">
        <w:rPr>
          <w:rFonts w:cs="Arial"/>
          <w:bCs/>
        </w:rPr>
        <w:t>d</w:t>
      </w:r>
      <w:r w:rsidR="005C2B11">
        <w:rPr>
          <w:rFonts w:cs="Arial"/>
          <w:bCs/>
        </w:rPr>
        <w:t xml:space="preserve"> an Opinion dated 25/06/2013 and a further Opinion dated 25/02/2014 (see </w:t>
      </w:r>
      <w:r w:rsidR="005C2B11" w:rsidRPr="00990762">
        <w:rPr>
          <w:rFonts w:cs="Arial"/>
          <w:b/>
          <w:bCs/>
        </w:rPr>
        <w:t>Appendix 1 &amp; 2</w:t>
      </w:r>
      <w:r w:rsidR="005C2B11">
        <w:rPr>
          <w:rFonts w:cs="Arial"/>
          <w:bCs/>
        </w:rPr>
        <w:t>). Both of these Opinions were distributed to the Applicant and the Objector.</w:t>
      </w:r>
    </w:p>
    <w:p w14:paraId="0983E4DA" w14:textId="0A81C365" w:rsidR="00A75709" w:rsidRPr="00B70F2A" w:rsidRDefault="008C11F1" w:rsidP="00B00241">
      <w:pPr>
        <w:pStyle w:val="BodyText"/>
        <w:numPr>
          <w:ilvl w:val="0"/>
          <w:numId w:val="1"/>
        </w:numPr>
        <w:spacing w:line="360" w:lineRule="auto"/>
        <w:jc w:val="both"/>
        <w:rPr>
          <w:b/>
        </w:rPr>
      </w:pPr>
      <w:r w:rsidRPr="00097BA4">
        <w:lastRenderedPageBreak/>
        <w:t xml:space="preserve">I concluded that the issue of the </w:t>
      </w:r>
      <w:r w:rsidR="00824311" w:rsidRPr="00097BA4">
        <w:rPr>
          <w:rFonts w:cs="Arial"/>
          <w:bCs/>
        </w:rPr>
        <w:t xml:space="preserve">public-law status of the </w:t>
      </w:r>
      <w:r w:rsidR="00084558" w:rsidRPr="00097BA4">
        <w:rPr>
          <w:rFonts w:cs="Arial"/>
          <w:bCs/>
        </w:rPr>
        <w:t>application land, in continuous public ownership from 1968 to date</w:t>
      </w:r>
      <w:r w:rsidR="00DB130A" w:rsidRPr="00097BA4">
        <w:rPr>
          <w:rFonts w:cs="Arial"/>
          <w:bCs/>
        </w:rPr>
        <w:t xml:space="preserve">, during the </w:t>
      </w:r>
      <w:r w:rsidR="00D206B2" w:rsidRPr="00097BA4">
        <w:rPr>
          <w:rFonts w:cs="Arial"/>
          <w:bCs/>
        </w:rPr>
        <w:t xml:space="preserve">relevant qualifying period </w:t>
      </w:r>
      <w:r w:rsidR="00C95B8C" w:rsidRPr="00097BA4">
        <w:rPr>
          <w:rFonts w:cs="Arial"/>
          <w:bCs/>
        </w:rPr>
        <w:t xml:space="preserve">was an issue that </w:t>
      </w:r>
      <w:r w:rsidR="00E4315F" w:rsidRPr="00097BA4">
        <w:rPr>
          <w:rFonts w:cs="Arial"/>
          <w:bCs/>
        </w:rPr>
        <w:t>could be de</w:t>
      </w:r>
      <w:r w:rsidR="000D71EF" w:rsidRPr="00097BA4">
        <w:rPr>
          <w:rFonts w:cs="Arial"/>
          <w:bCs/>
        </w:rPr>
        <w:t xml:space="preserve">alt with as a preliminary issue without the need for </w:t>
      </w:r>
      <w:r w:rsidR="00733FE4" w:rsidRPr="00097BA4">
        <w:rPr>
          <w:rFonts w:cs="Arial"/>
          <w:bCs/>
        </w:rPr>
        <w:t>an immediate full-blown inquiry into all of the qualifying requirements of s.15(2) of the 2006 Act.</w:t>
      </w:r>
      <w:r w:rsidR="00097BA4">
        <w:rPr>
          <w:rFonts w:cs="Arial"/>
          <w:bCs/>
        </w:rPr>
        <w:t xml:space="preserve"> </w:t>
      </w:r>
      <w:r w:rsidR="0096452C">
        <w:rPr>
          <w:rFonts w:cs="Arial"/>
          <w:bCs/>
        </w:rPr>
        <w:t>Evidence was produced by the Objector that clearly showed that the major</w:t>
      </w:r>
      <w:r w:rsidR="00777AE5">
        <w:rPr>
          <w:rFonts w:cs="Arial"/>
          <w:bCs/>
        </w:rPr>
        <w:t xml:space="preserve">ity of the Knowle was expressly </w:t>
      </w:r>
      <w:r w:rsidR="00DA712F">
        <w:rPr>
          <w:rFonts w:cs="Arial"/>
          <w:bCs/>
        </w:rPr>
        <w:t>appropriated</w:t>
      </w:r>
      <w:r w:rsidR="00995DA8">
        <w:rPr>
          <w:rFonts w:cs="Arial"/>
          <w:bCs/>
        </w:rPr>
        <w:t xml:space="preserve"> in</w:t>
      </w:r>
      <w:r w:rsidR="0044553E">
        <w:rPr>
          <w:rFonts w:cs="Arial"/>
          <w:bCs/>
        </w:rPr>
        <w:t xml:space="preserve"> 1973</w:t>
      </w:r>
      <w:r w:rsidR="00DA712F">
        <w:rPr>
          <w:rFonts w:cs="Arial"/>
          <w:bCs/>
        </w:rPr>
        <w:t xml:space="preserve"> </w:t>
      </w:r>
      <w:r w:rsidR="00D62FF6">
        <w:rPr>
          <w:rFonts w:cs="Arial"/>
          <w:bCs/>
        </w:rPr>
        <w:t>to the purposes of the Public Health Act 1875</w:t>
      </w:r>
      <w:r w:rsidR="009E0927">
        <w:rPr>
          <w:rFonts w:cs="Arial"/>
          <w:bCs/>
        </w:rPr>
        <w:t>.</w:t>
      </w:r>
      <w:r w:rsidR="00240180">
        <w:rPr>
          <w:rStyle w:val="FootnoteReference"/>
          <w:rFonts w:cs="Arial"/>
          <w:bCs/>
        </w:rPr>
        <w:footnoteReference w:id="5"/>
      </w:r>
      <w:r w:rsidR="00436345">
        <w:rPr>
          <w:rFonts w:cs="Arial"/>
          <w:bCs/>
        </w:rPr>
        <w:t xml:space="preserve"> The area of land appropriated in 1973 was shown on a plan that accompanied council minutes recording the appropriation. It was apparent to me that not all of the application land had been expressly appropriated in 1973. </w:t>
      </w:r>
      <w:r w:rsidR="000362FA">
        <w:rPr>
          <w:rFonts w:cs="Arial"/>
          <w:bCs/>
        </w:rPr>
        <w:t xml:space="preserve">The </w:t>
      </w:r>
      <w:r w:rsidR="000B50DF">
        <w:rPr>
          <w:rFonts w:cs="Arial"/>
          <w:bCs/>
        </w:rPr>
        <w:t>Objector also produced evidence that byelaws had been</w:t>
      </w:r>
      <w:r w:rsidR="00436345">
        <w:rPr>
          <w:rFonts w:cs="Arial"/>
          <w:bCs/>
        </w:rPr>
        <w:t xml:space="preserve"> imposed over “the Knowle”</w:t>
      </w:r>
      <w:r w:rsidR="00C54115">
        <w:rPr>
          <w:rFonts w:cs="Arial"/>
          <w:bCs/>
        </w:rPr>
        <w:t xml:space="preserve"> in 1984 and 1996 pursuant to </w:t>
      </w:r>
      <w:r w:rsidR="006B41A1">
        <w:rPr>
          <w:rFonts w:cs="Arial"/>
          <w:bCs/>
        </w:rPr>
        <w:t>the Public Health Act 1875 and/or the Open Spaces Act 1906.</w:t>
      </w:r>
      <w:r w:rsidR="00D6698B">
        <w:rPr>
          <w:rFonts w:cs="Arial"/>
          <w:bCs/>
        </w:rPr>
        <w:t xml:space="preserve"> I considered whether or not these amounted to an implicit appropriation of the remainder of the application land but was unable to come </w:t>
      </w:r>
      <w:r w:rsidR="0070045D">
        <w:rPr>
          <w:rFonts w:cs="Arial"/>
          <w:bCs/>
        </w:rPr>
        <w:t>to a conclusion on the evidence then to hand.</w:t>
      </w:r>
    </w:p>
    <w:p w14:paraId="67DFC734" w14:textId="1B0E3D8A" w:rsidR="00B70F2A" w:rsidRPr="00097BA4" w:rsidRDefault="00807463" w:rsidP="00B00241">
      <w:pPr>
        <w:pStyle w:val="BodyText"/>
        <w:numPr>
          <w:ilvl w:val="0"/>
          <w:numId w:val="1"/>
        </w:numPr>
        <w:spacing w:line="360" w:lineRule="auto"/>
        <w:jc w:val="both"/>
        <w:rPr>
          <w:b/>
        </w:rPr>
      </w:pPr>
      <w:r>
        <w:t xml:space="preserve">However, the matter was not at that time </w:t>
      </w:r>
      <w:r w:rsidR="00C21934">
        <w:t>as simple</w:t>
      </w:r>
      <w:r>
        <w:t xml:space="preserve"> </w:t>
      </w:r>
      <w:r w:rsidR="0092296A">
        <w:t xml:space="preserve">as </w:t>
      </w:r>
      <w:r>
        <w:t>whethe</w:t>
      </w:r>
      <w:r w:rsidR="00B72A9C">
        <w:t>r just the areas not appropriated</w:t>
      </w:r>
      <w:r w:rsidR="00DA60CE">
        <w:t xml:space="preserve"> in 1973</w:t>
      </w:r>
      <w:r w:rsidR="00DD558C">
        <w:t xml:space="preserve"> </w:t>
      </w:r>
      <w:r w:rsidR="006A4729">
        <w:t>were</w:t>
      </w:r>
      <w:r w:rsidR="00C93BAC">
        <w:t xml:space="preserve"> subsequently implicitly appropriated. This is because </w:t>
      </w:r>
      <w:r w:rsidR="00EB5698">
        <w:t>of the impac</w:t>
      </w:r>
      <w:r w:rsidR="00D46B44">
        <w:t xml:space="preserve">t the then pending appeals before the Supreme Court </w:t>
      </w:r>
      <w:r w:rsidR="00DD0BA9">
        <w:t xml:space="preserve">in the </w:t>
      </w:r>
      <w:r w:rsidR="00DD0BA9">
        <w:rPr>
          <w:i/>
        </w:rPr>
        <w:t xml:space="preserve">Barkas </w:t>
      </w:r>
      <w:r w:rsidR="00DD0BA9">
        <w:t xml:space="preserve">and </w:t>
      </w:r>
      <w:r w:rsidR="00DD0BA9">
        <w:rPr>
          <w:i/>
        </w:rPr>
        <w:t xml:space="preserve">Newhaven </w:t>
      </w:r>
      <w:r w:rsidR="00DD0BA9">
        <w:t>cases may have, in</w:t>
      </w:r>
      <w:r w:rsidR="009E29A3">
        <w:t xml:space="preserve"> my opinion, arguably have had </w:t>
      </w:r>
      <w:proofErr w:type="spellStart"/>
      <w:r w:rsidR="009E29A3">
        <w:rPr>
          <w:i/>
        </w:rPr>
        <w:t>viz</w:t>
      </w:r>
      <w:proofErr w:type="spellEnd"/>
      <w:r w:rsidR="009E29A3">
        <w:rPr>
          <w:i/>
        </w:rPr>
        <w:t xml:space="preserve"> </w:t>
      </w:r>
      <w:r w:rsidR="000E170C">
        <w:t>s.15(7)(b) of the 2006 Act.</w:t>
      </w:r>
      <w:r w:rsidR="007A2126">
        <w:t xml:space="preserve"> To repeat the full terms of my Opinions here would greatly add to the length of this Report, readers are invited to refer to those </w:t>
      </w:r>
      <w:r w:rsidR="00A4564F">
        <w:t>Opinions</w:t>
      </w:r>
      <w:r w:rsidR="007A2126">
        <w:t xml:space="preserve"> for full detail. </w:t>
      </w:r>
    </w:p>
    <w:p w14:paraId="437F7C95" w14:textId="163600B4" w:rsidR="008419D4" w:rsidRPr="008419D4" w:rsidRDefault="008E6DBA" w:rsidP="00B00241">
      <w:pPr>
        <w:pStyle w:val="BodyText"/>
        <w:numPr>
          <w:ilvl w:val="0"/>
          <w:numId w:val="1"/>
        </w:numPr>
        <w:spacing w:line="360" w:lineRule="auto"/>
        <w:jc w:val="both"/>
      </w:pPr>
      <w:r>
        <w:rPr>
          <w:rFonts w:cs="Arial"/>
          <w:bCs/>
        </w:rPr>
        <w:t>I</w:t>
      </w:r>
      <w:r w:rsidR="00070E38">
        <w:rPr>
          <w:rFonts w:cs="Arial"/>
          <w:bCs/>
        </w:rPr>
        <w:t xml:space="preserve">n light of my advice I was instructed by the Registration Authority as Inspector to convene a </w:t>
      </w:r>
      <w:r w:rsidR="00297126">
        <w:rPr>
          <w:rFonts w:cs="Arial"/>
          <w:bCs/>
        </w:rPr>
        <w:t>1-day</w:t>
      </w:r>
      <w:r w:rsidR="00B643C1">
        <w:rPr>
          <w:rFonts w:cs="Arial"/>
          <w:bCs/>
        </w:rPr>
        <w:t xml:space="preserve"> </w:t>
      </w:r>
      <w:r w:rsidR="00070E38">
        <w:rPr>
          <w:rFonts w:cs="Arial"/>
          <w:bCs/>
        </w:rPr>
        <w:t xml:space="preserve">non-statutory inquiry to address </w:t>
      </w:r>
      <w:r w:rsidR="00D44115">
        <w:rPr>
          <w:rFonts w:cs="Arial"/>
          <w:bCs/>
        </w:rPr>
        <w:t xml:space="preserve">the discrete preliminary issues that I had identified. </w:t>
      </w:r>
      <w:r w:rsidR="00BC26D1" w:rsidRPr="00D44115">
        <w:rPr>
          <w:rFonts w:cs="Arial"/>
          <w:bCs/>
        </w:rPr>
        <w:t xml:space="preserve">The issues I </w:t>
      </w:r>
      <w:r w:rsidR="00D44115">
        <w:rPr>
          <w:rFonts w:cs="Arial"/>
          <w:bCs/>
        </w:rPr>
        <w:t>identified were as follows:</w:t>
      </w:r>
    </w:p>
    <w:p w14:paraId="41081AD2" w14:textId="77777777" w:rsidR="00B00241" w:rsidRPr="00B00241" w:rsidRDefault="00B00241" w:rsidP="00B00241">
      <w:pPr>
        <w:pStyle w:val="BodyText"/>
        <w:numPr>
          <w:ilvl w:val="0"/>
          <w:numId w:val="2"/>
        </w:numPr>
        <w:spacing w:line="360" w:lineRule="auto"/>
      </w:pPr>
      <w:r w:rsidRPr="00B00241">
        <w:t>Which areas of the application land were not appropriated in 1973 or have been subsequently built on (the Objector should produce a plan to assist the Registration Authority)?</w:t>
      </w:r>
    </w:p>
    <w:p w14:paraId="6EF9D057" w14:textId="77777777" w:rsidR="00B00241" w:rsidRPr="00B00241" w:rsidRDefault="00B00241" w:rsidP="00B00241">
      <w:pPr>
        <w:pStyle w:val="BodyText"/>
        <w:numPr>
          <w:ilvl w:val="0"/>
          <w:numId w:val="2"/>
        </w:numPr>
        <w:spacing w:line="360" w:lineRule="auto"/>
      </w:pPr>
      <w:r w:rsidRPr="00B00241">
        <w:t xml:space="preserve">Is the land built on or otherwise developed excluded from the application? </w:t>
      </w:r>
    </w:p>
    <w:p w14:paraId="00BA8296" w14:textId="77777777" w:rsidR="00B00241" w:rsidRPr="00B00241" w:rsidRDefault="00B00241" w:rsidP="00B00241">
      <w:pPr>
        <w:pStyle w:val="BodyText"/>
        <w:numPr>
          <w:ilvl w:val="0"/>
          <w:numId w:val="2"/>
        </w:numPr>
        <w:spacing w:line="360" w:lineRule="auto"/>
      </w:pPr>
      <w:r w:rsidRPr="00B00241">
        <w:t>Did the byelaws (1984 and 1996) implicitly appropriate any land not expressly appropriated in 1973? If not, what statute is the remaining land held under?</w:t>
      </w:r>
    </w:p>
    <w:p w14:paraId="0E30540A" w14:textId="77777777" w:rsidR="00B00241" w:rsidRPr="00B00241" w:rsidRDefault="00B00241" w:rsidP="00B00241">
      <w:pPr>
        <w:pStyle w:val="BodyText"/>
        <w:numPr>
          <w:ilvl w:val="0"/>
          <w:numId w:val="2"/>
        </w:numPr>
        <w:spacing w:line="360" w:lineRule="auto"/>
      </w:pPr>
      <w:r w:rsidRPr="00B00241">
        <w:lastRenderedPageBreak/>
        <w:t xml:space="preserve">Should the Registration Authority wait until after the determination of the </w:t>
      </w:r>
      <w:r w:rsidRPr="00B00241">
        <w:rPr>
          <w:i/>
        </w:rPr>
        <w:t xml:space="preserve">Newhaven </w:t>
      </w:r>
      <w:r w:rsidRPr="00B00241">
        <w:t xml:space="preserve">and </w:t>
      </w:r>
      <w:r w:rsidRPr="00B00241">
        <w:rPr>
          <w:i/>
        </w:rPr>
        <w:t xml:space="preserve">Barkas </w:t>
      </w:r>
      <w:r w:rsidRPr="00B00241">
        <w:t>appeals in the Supreme Court to determine this application? (</w:t>
      </w:r>
      <w:proofErr w:type="gramStart"/>
      <w:r w:rsidRPr="00B00241">
        <w:t>what</w:t>
      </w:r>
      <w:proofErr w:type="gramEnd"/>
      <w:r w:rsidRPr="00B00241">
        <w:t xml:space="preserve"> is the proper legal approach?) </w:t>
      </w:r>
    </w:p>
    <w:p w14:paraId="31FD8908" w14:textId="5F32492D" w:rsidR="005C6939" w:rsidRDefault="00B00241" w:rsidP="005C6939">
      <w:pPr>
        <w:pStyle w:val="BodyText"/>
        <w:numPr>
          <w:ilvl w:val="0"/>
          <w:numId w:val="2"/>
        </w:numPr>
        <w:spacing w:line="360" w:lineRule="auto"/>
      </w:pPr>
      <w:r w:rsidRPr="00B00241">
        <w:t xml:space="preserve">Should a full inquiry be proceeded with in relation to any portion of the land? </w:t>
      </w:r>
    </w:p>
    <w:p w14:paraId="667EB3C6" w14:textId="272E3B76" w:rsidR="005C6939" w:rsidRPr="005C6939" w:rsidRDefault="005C6939" w:rsidP="005C6939">
      <w:pPr>
        <w:pStyle w:val="BodyText"/>
        <w:spacing w:line="360" w:lineRule="auto"/>
        <w:jc w:val="both"/>
        <w:rPr>
          <w:rFonts w:cs="Arial"/>
          <w:b/>
          <w:bCs/>
        </w:rPr>
      </w:pPr>
      <w:r>
        <w:rPr>
          <w:rFonts w:cs="Arial"/>
          <w:b/>
          <w:bCs/>
        </w:rPr>
        <w:t>THE INQUIRY</w:t>
      </w:r>
    </w:p>
    <w:p w14:paraId="253E3AA2" w14:textId="0240E720" w:rsidR="00B00241" w:rsidRPr="00D63AF7" w:rsidRDefault="009E26FE" w:rsidP="00B00241">
      <w:pPr>
        <w:pStyle w:val="BodyText"/>
        <w:numPr>
          <w:ilvl w:val="0"/>
          <w:numId w:val="1"/>
        </w:numPr>
        <w:spacing w:line="360" w:lineRule="auto"/>
        <w:jc w:val="both"/>
      </w:pPr>
      <w:r>
        <w:rPr>
          <w:rFonts w:cs="Arial"/>
          <w:bCs/>
        </w:rPr>
        <w:t>I issued Directions for the inquiry</w:t>
      </w:r>
      <w:r w:rsidR="00C00496">
        <w:rPr>
          <w:rFonts w:cs="Arial"/>
          <w:bCs/>
        </w:rPr>
        <w:t xml:space="preserve"> on 25/02/2014</w:t>
      </w:r>
      <w:r w:rsidR="002978E5">
        <w:rPr>
          <w:rFonts w:cs="Arial"/>
          <w:bCs/>
        </w:rPr>
        <w:t xml:space="preserve"> (which replaced those made on 10/02/2014 because the parties asked for more preparation time)</w:t>
      </w:r>
      <w:r>
        <w:rPr>
          <w:rFonts w:cs="Arial"/>
          <w:bCs/>
        </w:rPr>
        <w:t xml:space="preserve"> and these provided an opportunity for either side to produce evidence to the inquiry and to call any witness evidence if this was so desired. </w:t>
      </w:r>
      <w:r w:rsidR="0042361A">
        <w:rPr>
          <w:rFonts w:cs="Arial"/>
          <w:bCs/>
        </w:rPr>
        <w:t xml:space="preserve">However, as will be seen from what follows there is not a great dispute about the relevant evidence on these preliminary points and my recommendation therefore </w:t>
      </w:r>
      <w:r w:rsidR="00067240">
        <w:rPr>
          <w:rFonts w:cs="Arial"/>
          <w:bCs/>
        </w:rPr>
        <w:t>largely</w:t>
      </w:r>
      <w:r w:rsidR="00846A6C">
        <w:rPr>
          <w:rFonts w:cs="Arial"/>
          <w:bCs/>
        </w:rPr>
        <w:t xml:space="preserve"> </w:t>
      </w:r>
      <w:r w:rsidR="0042361A">
        <w:rPr>
          <w:rFonts w:cs="Arial"/>
          <w:bCs/>
        </w:rPr>
        <w:t xml:space="preserve">turns on the proper application of the relevant legal principles. </w:t>
      </w:r>
      <w:r w:rsidR="007B1C37">
        <w:rPr>
          <w:rFonts w:cs="Arial"/>
          <w:bCs/>
        </w:rPr>
        <w:t xml:space="preserve">To this end I issued a document entitled “Inspector’s preliminary view of the issues at stake in the pending </w:t>
      </w:r>
      <w:r w:rsidR="007B1C37" w:rsidRPr="00F852A5">
        <w:rPr>
          <w:rFonts w:cs="Arial"/>
          <w:bCs/>
          <w:i/>
        </w:rPr>
        <w:t>Barkas</w:t>
      </w:r>
      <w:r w:rsidR="007B1C37">
        <w:rPr>
          <w:rFonts w:cs="Arial"/>
          <w:bCs/>
        </w:rPr>
        <w:t xml:space="preserve"> and </w:t>
      </w:r>
      <w:r w:rsidR="007B1C37" w:rsidRPr="00F852A5">
        <w:rPr>
          <w:rFonts w:cs="Arial"/>
          <w:bCs/>
          <w:i/>
        </w:rPr>
        <w:t>Newhaven</w:t>
      </w:r>
      <w:r w:rsidR="007B1C37">
        <w:rPr>
          <w:rFonts w:cs="Arial"/>
          <w:bCs/>
        </w:rPr>
        <w:t xml:space="preserve"> appeals before the Supreme Court</w:t>
      </w:r>
      <w:r w:rsidR="003B17F6">
        <w:rPr>
          <w:rFonts w:cs="Arial"/>
          <w:bCs/>
        </w:rPr>
        <w:t>” (</w:t>
      </w:r>
      <w:r w:rsidR="003B17F6" w:rsidRPr="00D45F85">
        <w:rPr>
          <w:rFonts w:cs="Arial"/>
          <w:b/>
          <w:bCs/>
        </w:rPr>
        <w:t>Appendix 3</w:t>
      </w:r>
      <w:r w:rsidR="003B17F6">
        <w:rPr>
          <w:rFonts w:cs="Arial"/>
          <w:bCs/>
        </w:rPr>
        <w:t>)</w:t>
      </w:r>
      <w:r w:rsidR="007B1C37">
        <w:rPr>
          <w:rFonts w:cs="Arial"/>
          <w:bCs/>
        </w:rPr>
        <w:t xml:space="preserve"> to the parties prior to the inquiry in which I sought to ensu</w:t>
      </w:r>
      <w:r w:rsidR="00AB08CE">
        <w:rPr>
          <w:rFonts w:cs="Arial"/>
          <w:bCs/>
        </w:rPr>
        <w:t>re that the issues to be dealt with at the inquiry</w:t>
      </w:r>
      <w:r w:rsidR="00F65E03">
        <w:rPr>
          <w:rFonts w:cs="Arial"/>
          <w:bCs/>
        </w:rPr>
        <w:t xml:space="preserve"> were clearly understood by all concerned.</w:t>
      </w:r>
    </w:p>
    <w:p w14:paraId="464807C4" w14:textId="7C6B327E" w:rsidR="00370B52" w:rsidRPr="00F10D3D" w:rsidRDefault="008F7568" w:rsidP="003302EB">
      <w:pPr>
        <w:pStyle w:val="BodyText"/>
        <w:numPr>
          <w:ilvl w:val="0"/>
          <w:numId w:val="1"/>
        </w:numPr>
        <w:spacing w:line="360" w:lineRule="auto"/>
        <w:jc w:val="both"/>
      </w:pPr>
      <w:r>
        <w:rPr>
          <w:rFonts w:cs="Arial"/>
          <w:bCs/>
        </w:rPr>
        <w:t>At the</w:t>
      </w:r>
      <w:r w:rsidR="001570A4">
        <w:rPr>
          <w:rFonts w:cs="Arial"/>
          <w:bCs/>
        </w:rPr>
        <w:t xml:space="preserve"> inquiry, held </w:t>
      </w:r>
      <w:r w:rsidR="006F5A2B">
        <w:rPr>
          <w:rFonts w:cs="Arial"/>
          <w:bCs/>
        </w:rPr>
        <w:t xml:space="preserve">in the Council Chamber </w:t>
      </w:r>
      <w:r w:rsidR="001570A4">
        <w:rPr>
          <w:rFonts w:cs="Arial"/>
          <w:bCs/>
        </w:rPr>
        <w:t>at the Knowle</w:t>
      </w:r>
      <w:r w:rsidR="0028745F">
        <w:rPr>
          <w:rFonts w:cs="Arial"/>
          <w:bCs/>
        </w:rPr>
        <w:t xml:space="preserve"> on </w:t>
      </w:r>
      <w:r w:rsidR="0028477F">
        <w:rPr>
          <w:rFonts w:cs="Arial"/>
          <w:bCs/>
        </w:rPr>
        <w:t>10 April</w:t>
      </w:r>
      <w:r w:rsidR="006E46A5">
        <w:rPr>
          <w:rFonts w:cs="Arial"/>
          <w:bCs/>
        </w:rPr>
        <w:t xml:space="preserve"> 2014</w:t>
      </w:r>
      <w:r w:rsidR="001570A4">
        <w:rPr>
          <w:rFonts w:cs="Arial"/>
          <w:bCs/>
        </w:rPr>
        <w:t xml:space="preserve">, </w:t>
      </w:r>
      <w:r>
        <w:rPr>
          <w:rFonts w:cs="Arial"/>
          <w:bCs/>
        </w:rPr>
        <w:t>the Applicant was repr</w:t>
      </w:r>
      <w:r w:rsidR="00704186">
        <w:rPr>
          <w:rFonts w:cs="Arial"/>
          <w:bCs/>
        </w:rPr>
        <w:t>es</w:t>
      </w:r>
      <w:r w:rsidR="001A6E2F">
        <w:rPr>
          <w:rFonts w:cs="Arial"/>
          <w:bCs/>
        </w:rPr>
        <w:t>ented by Mr Christopher Maile (</w:t>
      </w:r>
      <w:r>
        <w:rPr>
          <w:rFonts w:cs="Arial"/>
          <w:bCs/>
        </w:rPr>
        <w:t>who is not a lawyer but has</w:t>
      </w:r>
      <w:r w:rsidR="00E85B1C">
        <w:rPr>
          <w:rFonts w:cs="Arial"/>
          <w:bCs/>
        </w:rPr>
        <w:t xml:space="preserve"> </w:t>
      </w:r>
      <w:r w:rsidR="00A96DBE">
        <w:rPr>
          <w:rFonts w:cs="Arial"/>
          <w:bCs/>
        </w:rPr>
        <w:t>nonetheless represented</w:t>
      </w:r>
      <w:r>
        <w:rPr>
          <w:rFonts w:cs="Arial"/>
          <w:bCs/>
        </w:rPr>
        <w:t xml:space="preserve"> a considerable number of village green applicants at </w:t>
      </w:r>
      <w:r w:rsidR="00BB1DAF">
        <w:rPr>
          <w:rFonts w:cs="Arial"/>
          <w:bCs/>
        </w:rPr>
        <w:t>public inquiries).</w:t>
      </w:r>
      <w:r w:rsidR="003160A4">
        <w:rPr>
          <w:rFonts w:cs="Arial"/>
          <w:bCs/>
        </w:rPr>
        <w:t xml:space="preserve"> </w:t>
      </w:r>
      <w:r w:rsidR="001E336D">
        <w:rPr>
          <w:rFonts w:cs="Arial"/>
          <w:bCs/>
        </w:rPr>
        <w:t>Mr Alun Alesbury of counsel represented the Objector</w:t>
      </w:r>
      <w:r w:rsidR="00B6615C">
        <w:rPr>
          <w:rFonts w:cs="Arial"/>
          <w:bCs/>
        </w:rPr>
        <w:t xml:space="preserve">. </w:t>
      </w:r>
      <w:r w:rsidR="00CA3900" w:rsidRPr="001F359D">
        <w:rPr>
          <w:rFonts w:cs="Arial"/>
          <w:bCs/>
        </w:rPr>
        <w:t>I conducted both an unaccompanied and an accompanied site view</w:t>
      </w:r>
      <w:r w:rsidR="00FD4C50" w:rsidRPr="001F359D">
        <w:rPr>
          <w:rFonts w:cs="Arial"/>
          <w:bCs/>
        </w:rPr>
        <w:t xml:space="preserve">. </w:t>
      </w:r>
    </w:p>
    <w:p w14:paraId="528C1C16" w14:textId="25946914" w:rsidR="00250F6D" w:rsidRPr="007B477A" w:rsidRDefault="00E8451F" w:rsidP="00250F6D">
      <w:pPr>
        <w:pStyle w:val="BodyText"/>
        <w:numPr>
          <w:ilvl w:val="0"/>
          <w:numId w:val="1"/>
        </w:numPr>
        <w:spacing w:line="360" w:lineRule="auto"/>
        <w:jc w:val="both"/>
      </w:pPr>
      <w:r>
        <w:rPr>
          <w:rFonts w:cs="Arial"/>
          <w:bCs/>
        </w:rPr>
        <w:t xml:space="preserve">As </w:t>
      </w:r>
      <w:r w:rsidR="00F43F3A">
        <w:rPr>
          <w:rFonts w:cs="Arial"/>
          <w:bCs/>
        </w:rPr>
        <w:t xml:space="preserve">it turned out the Supreme Court handed down judgment in </w:t>
      </w:r>
      <w:r w:rsidR="00F43F3A" w:rsidRPr="00B621E4">
        <w:rPr>
          <w:rFonts w:cs="Arial"/>
          <w:bCs/>
          <w:i/>
        </w:rPr>
        <w:t>R</w:t>
      </w:r>
      <w:r w:rsidR="00F43F3A">
        <w:rPr>
          <w:rFonts w:cs="Arial"/>
          <w:bCs/>
          <w:i/>
        </w:rPr>
        <w:t xml:space="preserve"> </w:t>
      </w:r>
      <w:r w:rsidR="00F43F3A" w:rsidRPr="00B621E4">
        <w:rPr>
          <w:rFonts w:cs="Arial"/>
          <w:bCs/>
          <w:i/>
        </w:rPr>
        <w:t>(</w:t>
      </w:r>
      <w:r w:rsidR="00F43F3A" w:rsidRPr="00B621E4">
        <w:rPr>
          <w:rFonts w:cs="Arial"/>
          <w:bCs/>
          <w:i/>
          <w:lang w:val="en-US"/>
        </w:rPr>
        <w:t xml:space="preserve">Barkas v North Yorkshire County Council </w:t>
      </w:r>
      <w:r w:rsidR="00F43F3A">
        <w:rPr>
          <w:rFonts w:cs="Arial"/>
          <w:bCs/>
        </w:rPr>
        <w:t>[</w:t>
      </w:r>
      <w:r w:rsidR="00F43F3A" w:rsidRPr="00714B32">
        <w:rPr>
          <w:rFonts w:cs="Arial"/>
          <w:bCs/>
          <w:lang w:val="en-US"/>
        </w:rPr>
        <w:t>2014] UKSC 31</w:t>
      </w:r>
      <w:r w:rsidR="00F43F3A">
        <w:rPr>
          <w:rFonts w:cs="Arial"/>
          <w:bCs/>
        </w:rPr>
        <w:t xml:space="preserve"> </w:t>
      </w:r>
      <w:r w:rsidR="0009548D">
        <w:rPr>
          <w:rFonts w:cs="Arial"/>
          <w:bCs/>
        </w:rPr>
        <w:t>(“</w:t>
      </w:r>
      <w:r w:rsidR="0009548D">
        <w:rPr>
          <w:rFonts w:cs="Arial"/>
          <w:bCs/>
          <w:i/>
        </w:rPr>
        <w:t>Barkas”</w:t>
      </w:r>
      <w:r w:rsidR="0009548D">
        <w:rPr>
          <w:rFonts w:cs="Arial"/>
          <w:bCs/>
        </w:rPr>
        <w:t xml:space="preserve">) </w:t>
      </w:r>
      <w:r w:rsidR="00F43F3A">
        <w:rPr>
          <w:rFonts w:cs="Arial"/>
          <w:bCs/>
        </w:rPr>
        <w:t>on 21/05/2014. In the interest of fairness I gave the parties an opportunity to study the judgment and to</w:t>
      </w:r>
      <w:r w:rsidR="00096745">
        <w:rPr>
          <w:rFonts w:cs="Arial"/>
          <w:bCs/>
        </w:rPr>
        <w:t xml:space="preserve"> make written submissions on it</w:t>
      </w:r>
      <w:r w:rsidR="00F73021">
        <w:rPr>
          <w:rFonts w:cs="Arial"/>
          <w:bCs/>
        </w:rPr>
        <w:t xml:space="preserve">. Both parties made very brief written </w:t>
      </w:r>
      <w:r w:rsidR="00521014">
        <w:rPr>
          <w:rFonts w:cs="Arial"/>
          <w:bCs/>
        </w:rPr>
        <w:t>submissions</w:t>
      </w:r>
      <w:r w:rsidR="00F73021">
        <w:rPr>
          <w:rFonts w:cs="Arial"/>
          <w:bCs/>
        </w:rPr>
        <w:t xml:space="preserve">. </w:t>
      </w:r>
      <w:r>
        <w:rPr>
          <w:rFonts w:cs="Arial"/>
          <w:bCs/>
        </w:rPr>
        <w:t xml:space="preserve">I </w:t>
      </w:r>
      <w:r w:rsidR="00217730">
        <w:rPr>
          <w:rFonts w:cs="Arial"/>
          <w:bCs/>
        </w:rPr>
        <w:t xml:space="preserve">should also say that I </w:t>
      </w:r>
      <w:r>
        <w:rPr>
          <w:rFonts w:cs="Arial"/>
          <w:bCs/>
        </w:rPr>
        <w:t xml:space="preserve">was greatly assisted at the inquiry by both advocates who had in fact watched the submissions before the Supreme Court on the live television feed that is now in operation. Thankfully, speculation has now given way to a concrete judgment. </w:t>
      </w:r>
    </w:p>
    <w:p w14:paraId="5B853E75" w14:textId="6B4874C1" w:rsidR="008E76A5" w:rsidRDefault="00E45575" w:rsidP="008E76A5">
      <w:pPr>
        <w:pStyle w:val="BodyText"/>
        <w:spacing w:line="360" w:lineRule="auto"/>
        <w:jc w:val="both"/>
        <w:rPr>
          <w:rFonts w:cs="Arial"/>
          <w:b/>
          <w:bCs/>
        </w:rPr>
      </w:pPr>
      <w:r>
        <w:rPr>
          <w:rFonts w:cs="Arial"/>
          <w:b/>
          <w:bCs/>
        </w:rPr>
        <w:t>CONCESSIONS MADE BY THE APPLICANT</w:t>
      </w:r>
    </w:p>
    <w:p w14:paraId="11C1762F" w14:textId="11347A60" w:rsidR="003302EB" w:rsidRPr="008E76A5" w:rsidRDefault="00002224" w:rsidP="008E76A5">
      <w:pPr>
        <w:pStyle w:val="BodyText"/>
        <w:numPr>
          <w:ilvl w:val="0"/>
          <w:numId w:val="1"/>
        </w:numPr>
        <w:spacing w:line="360" w:lineRule="auto"/>
        <w:jc w:val="both"/>
        <w:rPr>
          <w:rFonts w:cs="Arial"/>
          <w:b/>
          <w:bCs/>
        </w:rPr>
      </w:pPr>
      <w:r>
        <w:rPr>
          <w:rFonts w:cs="Arial"/>
          <w:bCs/>
        </w:rPr>
        <w:t>At the</w:t>
      </w:r>
      <w:r w:rsidR="008E76A5">
        <w:rPr>
          <w:rFonts w:cs="Arial"/>
          <w:bCs/>
        </w:rPr>
        <w:t xml:space="preserve"> public inquiry Mr Maile made a number of concessions on behalf of the Applicant</w:t>
      </w:r>
      <w:r>
        <w:rPr>
          <w:rFonts w:cs="Arial"/>
          <w:bCs/>
        </w:rPr>
        <w:t>.</w:t>
      </w:r>
    </w:p>
    <w:p w14:paraId="5E6D4673" w14:textId="3B2715EB" w:rsidR="004C4A76" w:rsidRPr="00A271DF" w:rsidRDefault="008E76A5" w:rsidP="00A271DF">
      <w:pPr>
        <w:pStyle w:val="BodyText"/>
        <w:numPr>
          <w:ilvl w:val="0"/>
          <w:numId w:val="1"/>
        </w:numPr>
        <w:spacing w:line="360" w:lineRule="auto"/>
        <w:jc w:val="both"/>
        <w:rPr>
          <w:rFonts w:cs="Arial"/>
          <w:bCs/>
        </w:rPr>
      </w:pPr>
      <w:r>
        <w:rPr>
          <w:rFonts w:cs="Arial"/>
          <w:bCs/>
        </w:rPr>
        <w:lastRenderedPageBreak/>
        <w:t xml:space="preserve">First, </w:t>
      </w:r>
      <w:r w:rsidR="00494FE3">
        <w:rPr>
          <w:rFonts w:cs="Arial"/>
          <w:bCs/>
        </w:rPr>
        <w:t>it is was said</w:t>
      </w:r>
      <w:r w:rsidR="00002224">
        <w:rPr>
          <w:rFonts w:cs="Arial"/>
          <w:bCs/>
        </w:rPr>
        <w:t xml:space="preserve"> that the Applicant would not wish to pursue a case </w:t>
      </w:r>
      <w:r w:rsidR="000450AB">
        <w:rPr>
          <w:rFonts w:cs="Arial"/>
          <w:bCs/>
        </w:rPr>
        <w:t xml:space="preserve">based on </w:t>
      </w:r>
      <w:proofErr w:type="gramStart"/>
      <w:r w:rsidR="000450AB">
        <w:rPr>
          <w:rFonts w:cs="Arial"/>
          <w:bCs/>
        </w:rPr>
        <w:t>s.15(</w:t>
      </w:r>
      <w:proofErr w:type="gramEnd"/>
      <w:r w:rsidR="000450AB">
        <w:rPr>
          <w:rFonts w:cs="Arial"/>
          <w:bCs/>
        </w:rPr>
        <w:t xml:space="preserve">7)(b) of the 2006 Act </w:t>
      </w:r>
      <w:r w:rsidR="00BA176C">
        <w:rPr>
          <w:rFonts w:cs="Arial"/>
          <w:bCs/>
        </w:rPr>
        <w:t xml:space="preserve">even if the </w:t>
      </w:r>
      <w:r w:rsidR="00444B25">
        <w:rPr>
          <w:rFonts w:cs="Arial"/>
          <w:bCs/>
        </w:rPr>
        <w:t>Su</w:t>
      </w:r>
      <w:r w:rsidR="00616DE1">
        <w:rPr>
          <w:rFonts w:cs="Arial"/>
          <w:bCs/>
        </w:rPr>
        <w:t>preme Court were to reverse</w:t>
      </w:r>
      <w:r w:rsidR="004F1622">
        <w:rPr>
          <w:rFonts w:cs="Arial"/>
          <w:bCs/>
        </w:rPr>
        <w:t xml:space="preserve"> the judgment of the Court of A</w:t>
      </w:r>
      <w:r w:rsidR="00A271DF">
        <w:rPr>
          <w:rFonts w:cs="Arial"/>
          <w:bCs/>
        </w:rPr>
        <w:t>ppeal</w:t>
      </w:r>
      <w:r w:rsidR="0034396E">
        <w:rPr>
          <w:rFonts w:cs="Arial"/>
          <w:bCs/>
        </w:rPr>
        <w:t xml:space="preserve"> </w:t>
      </w:r>
      <w:r w:rsidR="004F1622" w:rsidRPr="00A271DF">
        <w:rPr>
          <w:rFonts w:cs="Arial"/>
          <w:bCs/>
        </w:rPr>
        <w:t xml:space="preserve">in </w:t>
      </w:r>
      <w:r w:rsidR="00A271DF" w:rsidRPr="00A271DF">
        <w:rPr>
          <w:rFonts w:cs="Arial"/>
          <w:bCs/>
          <w:i/>
        </w:rPr>
        <w:t>R (Newhaven Port &amp; Properties Ltd) v East Sussex County Council</w:t>
      </w:r>
      <w:r w:rsidR="00A271DF" w:rsidRPr="00A271DF">
        <w:rPr>
          <w:rFonts w:cs="Arial"/>
          <w:bCs/>
        </w:rPr>
        <w:t xml:space="preserve"> [2014] QB 186 &amp; 282</w:t>
      </w:r>
      <w:r w:rsidR="00A271DF">
        <w:rPr>
          <w:rFonts w:cs="Arial"/>
          <w:bCs/>
        </w:rPr>
        <w:t xml:space="preserve"> </w:t>
      </w:r>
      <w:r w:rsidR="00A271DF" w:rsidRPr="00A271DF">
        <w:rPr>
          <w:rFonts w:cs="Arial"/>
          <w:bCs/>
        </w:rPr>
        <w:t>(“</w:t>
      </w:r>
      <w:r w:rsidR="00A271DF" w:rsidRPr="00D13441">
        <w:rPr>
          <w:rFonts w:cs="Arial"/>
          <w:bCs/>
          <w:i/>
        </w:rPr>
        <w:t>Newhaven</w:t>
      </w:r>
      <w:r w:rsidR="00A271DF" w:rsidRPr="00A271DF">
        <w:rPr>
          <w:rFonts w:cs="Arial"/>
          <w:bCs/>
        </w:rPr>
        <w:t>”</w:t>
      </w:r>
      <w:r w:rsidR="00A271DF">
        <w:rPr>
          <w:rFonts w:cs="Arial"/>
          <w:bCs/>
        </w:rPr>
        <w:t>)</w:t>
      </w:r>
      <w:r w:rsidR="00A271DF" w:rsidRPr="00A271DF">
        <w:rPr>
          <w:rFonts w:cs="Arial"/>
          <w:bCs/>
        </w:rPr>
        <w:t xml:space="preserve"> </w:t>
      </w:r>
      <w:r w:rsidR="00616DE1" w:rsidRPr="00A271DF">
        <w:rPr>
          <w:rFonts w:cs="Arial"/>
          <w:bCs/>
        </w:rPr>
        <w:t xml:space="preserve">that this provision only applies </w:t>
      </w:r>
      <w:r w:rsidR="00363A8A" w:rsidRPr="00A271DF">
        <w:rPr>
          <w:rFonts w:cs="Arial"/>
          <w:bCs/>
        </w:rPr>
        <w:t xml:space="preserve">where </w:t>
      </w:r>
      <w:r w:rsidR="00A16801" w:rsidRPr="00A271DF">
        <w:rPr>
          <w:rFonts w:cs="Arial"/>
          <w:bCs/>
        </w:rPr>
        <w:t xml:space="preserve">permission has been granted </w:t>
      </w:r>
      <w:r w:rsidR="00A16801" w:rsidRPr="00250501">
        <w:rPr>
          <w:rFonts w:cs="Arial"/>
          <w:bCs/>
          <w:u w:val="single"/>
        </w:rPr>
        <w:t>aft</w:t>
      </w:r>
      <w:r w:rsidR="00BC42D1" w:rsidRPr="00250501">
        <w:rPr>
          <w:rFonts w:cs="Arial"/>
          <w:bCs/>
          <w:u w:val="single"/>
        </w:rPr>
        <w:t>er</w:t>
      </w:r>
      <w:r w:rsidR="00BC42D1" w:rsidRPr="00A271DF">
        <w:rPr>
          <w:rFonts w:cs="Arial"/>
          <w:bCs/>
        </w:rPr>
        <w:t xml:space="preserve"> the coming into force of s.15 to the 2006 Act.</w:t>
      </w:r>
      <w:r w:rsidR="00A80806" w:rsidRPr="00A271DF">
        <w:rPr>
          <w:rFonts w:cs="Arial"/>
          <w:bCs/>
        </w:rPr>
        <w:t xml:space="preserve"> </w:t>
      </w:r>
      <w:r w:rsidR="00F0373C" w:rsidRPr="00A271DF">
        <w:rPr>
          <w:rFonts w:cs="Arial"/>
          <w:bCs/>
        </w:rPr>
        <w:t>It was said that it would be “very difficult” for the Applicant to produce evidence going this far back in time</w:t>
      </w:r>
      <w:r w:rsidR="009B5148" w:rsidRPr="00A271DF">
        <w:rPr>
          <w:rFonts w:cs="Arial"/>
          <w:bCs/>
        </w:rPr>
        <w:t xml:space="preserve">. </w:t>
      </w:r>
      <w:r w:rsidR="00415075" w:rsidRPr="00A271DF">
        <w:rPr>
          <w:rFonts w:cs="Arial"/>
          <w:bCs/>
        </w:rPr>
        <w:t xml:space="preserve">As it turned out the Supreme Court in </w:t>
      </w:r>
      <w:r w:rsidR="00415075" w:rsidRPr="00F9023D">
        <w:rPr>
          <w:rFonts w:cs="Arial"/>
          <w:bCs/>
          <w:i/>
        </w:rPr>
        <w:t>Barkas</w:t>
      </w:r>
      <w:r w:rsidR="00415075" w:rsidRPr="00A271DF">
        <w:rPr>
          <w:rFonts w:cs="Arial"/>
          <w:bCs/>
        </w:rPr>
        <w:t xml:space="preserve"> appear to have said that use </w:t>
      </w:r>
      <w:r w:rsidR="00415075" w:rsidRPr="00BC76FE">
        <w:rPr>
          <w:rFonts w:cs="Arial"/>
          <w:bCs/>
          <w:i/>
        </w:rPr>
        <w:t>by right</w:t>
      </w:r>
      <w:r w:rsidR="00415075" w:rsidRPr="00A271DF">
        <w:rPr>
          <w:rFonts w:cs="Arial"/>
          <w:bCs/>
        </w:rPr>
        <w:t xml:space="preserve"> </w:t>
      </w:r>
      <w:r w:rsidR="000B6895" w:rsidRPr="00A271DF">
        <w:rPr>
          <w:rFonts w:cs="Arial"/>
          <w:bCs/>
        </w:rPr>
        <w:t>is</w:t>
      </w:r>
      <w:r w:rsidR="006953B6" w:rsidRPr="00A271DF">
        <w:rPr>
          <w:rFonts w:cs="Arial"/>
          <w:bCs/>
        </w:rPr>
        <w:t xml:space="preserve"> (contrary to Sullivan LJ’s view in the Court of Appeal)</w:t>
      </w:r>
      <w:r w:rsidR="00FE1FBB" w:rsidRPr="00A271DF">
        <w:rPr>
          <w:rFonts w:cs="Arial"/>
          <w:bCs/>
        </w:rPr>
        <w:t xml:space="preserve"> merely</w:t>
      </w:r>
      <w:r w:rsidR="00FA093D" w:rsidRPr="00A271DF">
        <w:rPr>
          <w:rFonts w:cs="Arial"/>
          <w:bCs/>
        </w:rPr>
        <w:t xml:space="preserve"> a</w:t>
      </w:r>
      <w:r w:rsidR="000B6895" w:rsidRPr="00A271DF">
        <w:rPr>
          <w:rFonts w:cs="Arial"/>
          <w:bCs/>
        </w:rPr>
        <w:t xml:space="preserve"> form of permissive use. </w:t>
      </w:r>
      <w:r w:rsidR="00E9504F" w:rsidRPr="00A271DF">
        <w:rPr>
          <w:rFonts w:cs="Arial"/>
          <w:bCs/>
        </w:rPr>
        <w:t>If this concession</w:t>
      </w:r>
      <w:r w:rsidR="004F34E1" w:rsidRPr="00A271DF">
        <w:rPr>
          <w:rFonts w:cs="Arial"/>
          <w:bCs/>
        </w:rPr>
        <w:t xml:space="preserve"> is accepted then there is no</w:t>
      </w:r>
      <w:r w:rsidR="00EF614A" w:rsidRPr="00A271DF">
        <w:rPr>
          <w:rFonts w:cs="Arial"/>
          <w:bCs/>
        </w:rPr>
        <w:t xml:space="preserve"> </w:t>
      </w:r>
      <w:r w:rsidR="007027D6" w:rsidRPr="00A271DF">
        <w:rPr>
          <w:rFonts w:cs="Arial"/>
          <w:bCs/>
        </w:rPr>
        <w:t xml:space="preserve">need </w:t>
      </w:r>
      <w:r w:rsidR="00EF614A" w:rsidRPr="00A271DF">
        <w:rPr>
          <w:rFonts w:cs="Arial"/>
          <w:bCs/>
        </w:rPr>
        <w:t xml:space="preserve">for </w:t>
      </w:r>
      <w:r w:rsidR="00FA759D" w:rsidRPr="00A271DF">
        <w:rPr>
          <w:rFonts w:cs="Arial"/>
          <w:bCs/>
        </w:rPr>
        <w:t>the Registration Authority or me</w:t>
      </w:r>
      <w:r w:rsidR="004F34E1" w:rsidRPr="00A271DF">
        <w:rPr>
          <w:rFonts w:cs="Arial"/>
          <w:bCs/>
        </w:rPr>
        <w:t xml:space="preserve"> to consider the</w:t>
      </w:r>
      <w:r w:rsidR="00806BC0" w:rsidRPr="00A271DF">
        <w:rPr>
          <w:rFonts w:cs="Arial"/>
          <w:bCs/>
        </w:rPr>
        <w:t xml:space="preserve"> preliminary point I identified </w:t>
      </w:r>
      <w:r w:rsidR="004C5DA3" w:rsidRPr="00A271DF">
        <w:rPr>
          <w:rFonts w:cs="Arial"/>
          <w:bCs/>
        </w:rPr>
        <w:t xml:space="preserve">as to whether the Registration Authority ought to wait until after the determination of the </w:t>
      </w:r>
      <w:r w:rsidR="004C5DA3" w:rsidRPr="00BC76FE">
        <w:rPr>
          <w:rFonts w:cs="Arial"/>
          <w:bCs/>
          <w:i/>
        </w:rPr>
        <w:t>Newhaven</w:t>
      </w:r>
      <w:r w:rsidR="004C5DA3" w:rsidRPr="00A271DF">
        <w:rPr>
          <w:rFonts w:cs="Arial"/>
          <w:bCs/>
        </w:rPr>
        <w:t xml:space="preserve"> appeal. </w:t>
      </w:r>
    </w:p>
    <w:p w14:paraId="4705CEB4" w14:textId="71E2ECC8" w:rsidR="00F06B9D" w:rsidRPr="00F06B9D" w:rsidRDefault="004C4A76" w:rsidP="008E76A5">
      <w:pPr>
        <w:pStyle w:val="BodyText"/>
        <w:numPr>
          <w:ilvl w:val="0"/>
          <w:numId w:val="1"/>
        </w:numPr>
        <w:spacing w:line="360" w:lineRule="auto"/>
        <w:jc w:val="both"/>
        <w:rPr>
          <w:rFonts w:cs="Arial"/>
          <w:b/>
          <w:bCs/>
        </w:rPr>
      </w:pPr>
      <w:r>
        <w:rPr>
          <w:rFonts w:cs="Arial"/>
          <w:bCs/>
        </w:rPr>
        <w:t xml:space="preserve">Second, </w:t>
      </w:r>
      <w:r w:rsidR="00547D05">
        <w:rPr>
          <w:rFonts w:cs="Arial"/>
          <w:bCs/>
        </w:rPr>
        <w:t>Mr Maile also conceded that the byelaws</w:t>
      </w:r>
      <w:r w:rsidR="00BC01C5">
        <w:rPr>
          <w:rFonts w:cs="Arial"/>
          <w:bCs/>
        </w:rPr>
        <w:t xml:space="preserve"> imposed over the land applied </w:t>
      </w:r>
      <w:r w:rsidR="00547D05">
        <w:rPr>
          <w:rFonts w:cs="Arial"/>
          <w:bCs/>
        </w:rPr>
        <w:t>from their coming into force</w:t>
      </w:r>
      <w:r w:rsidR="00B737E3">
        <w:rPr>
          <w:rFonts w:cs="Arial"/>
          <w:bCs/>
        </w:rPr>
        <w:t>,</w:t>
      </w:r>
      <w:r w:rsidR="00547D05">
        <w:rPr>
          <w:rFonts w:cs="Arial"/>
          <w:bCs/>
        </w:rPr>
        <w:t xml:space="preserve"> over the entire application land. </w:t>
      </w:r>
      <w:r w:rsidR="0047135C">
        <w:rPr>
          <w:rFonts w:cs="Arial"/>
          <w:bCs/>
        </w:rPr>
        <w:t xml:space="preserve">He did </w:t>
      </w:r>
      <w:r w:rsidR="00F0107C">
        <w:rPr>
          <w:rFonts w:cs="Arial"/>
          <w:bCs/>
        </w:rPr>
        <w:t xml:space="preserve">not give any particular reason for this. </w:t>
      </w:r>
    </w:p>
    <w:p w14:paraId="17F2B708" w14:textId="18859CE8" w:rsidR="00043F06" w:rsidRPr="00043F06" w:rsidRDefault="00CF1895" w:rsidP="008E76A5">
      <w:pPr>
        <w:pStyle w:val="BodyText"/>
        <w:numPr>
          <w:ilvl w:val="0"/>
          <w:numId w:val="1"/>
        </w:numPr>
        <w:spacing w:line="360" w:lineRule="auto"/>
        <w:jc w:val="both"/>
        <w:rPr>
          <w:rFonts w:cs="Arial"/>
          <w:b/>
          <w:bCs/>
        </w:rPr>
      </w:pPr>
      <w:r>
        <w:rPr>
          <w:rFonts w:cs="Arial"/>
          <w:bCs/>
        </w:rPr>
        <w:t>On the basis of these concessions</w:t>
      </w:r>
      <w:r w:rsidR="0096100E">
        <w:rPr>
          <w:rFonts w:cs="Arial"/>
          <w:bCs/>
        </w:rPr>
        <w:t>,</w:t>
      </w:r>
      <w:r w:rsidR="000F2981">
        <w:rPr>
          <w:rFonts w:cs="Arial"/>
          <w:bCs/>
        </w:rPr>
        <w:t xml:space="preserve"> </w:t>
      </w:r>
      <w:r w:rsidR="0096100E">
        <w:rPr>
          <w:rFonts w:cs="Arial"/>
          <w:bCs/>
        </w:rPr>
        <w:t xml:space="preserve">were they to be binding, </w:t>
      </w:r>
      <w:r w:rsidR="00844D42">
        <w:rPr>
          <w:rFonts w:cs="Arial"/>
          <w:bCs/>
        </w:rPr>
        <w:t xml:space="preserve">and the legal principles </w:t>
      </w:r>
      <w:r w:rsidR="004D09F1">
        <w:rPr>
          <w:rFonts w:cs="Arial"/>
          <w:bCs/>
        </w:rPr>
        <w:t>t</w:t>
      </w:r>
      <w:r w:rsidR="00945724">
        <w:rPr>
          <w:rFonts w:cs="Arial"/>
          <w:bCs/>
        </w:rPr>
        <w:t>hat I outlined in my two Opinions</w:t>
      </w:r>
      <w:r w:rsidR="00E73C21">
        <w:rPr>
          <w:rFonts w:cs="Arial"/>
          <w:bCs/>
        </w:rPr>
        <w:t xml:space="preserve"> </w:t>
      </w:r>
      <w:r>
        <w:rPr>
          <w:rFonts w:cs="Arial"/>
          <w:bCs/>
        </w:rPr>
        <w:t xml:space="preserve">my recommendation </w:t>
      </w:r>
      <w:r w:rsidR="00CE7D92">
        <w:rPr>
          <w:rFonts w:cs="Arial"/>
          <w:bCs/>
        </w:rPr>
        <w:t xml:space="preserve">should obviously be the immediate </w:t>
      </w:r>
      <w:r w:rsidR="001F6976">
        <w:rPr>
          <w:rFonts w:cs="Arial"/>
          <w:bCs/>
        </w:rPr>
        <w:t>rejection of the application</w:t>
      </w:r>
      <w:r w:rsidR="003F3CDC">
        <w:rPr>
          <w:rFonts w:cs="Arial"/>
          <w:bCs/>
        </w:rPr>
        <w:t>.</w:t>
      </w:r>
      <w:r w:rsidR="00003DB8">
        <w:rPr>
          <w:rFonts w:cs="Arial"/>
          <w:bCs/>
        </w:rPr>
        <w:t xml:space="preserve"> </w:t>
      </w:r>
      <w:r w:rsidR="00720EA6">
        <w:rPr>
          <w:rFonts w:cs="Arial"/>
          <w:bCs/>
        </w:rPr>
        <w:t>The key point that I was concerned about</w:t>
      </w:r>
      <w:r w:rsidR="00F15E42">
        <w:rPr>
          <w:rFonts w:cs="Arial"/>
          <w:bCs/>
        </w:rPr>
        <w:t xml:space="preserve"> in this first place</w:t>
      </w:r>
      <w:r w:rsidR="00720EA6">
        <w:rPr>
          <w:rFonts w:cs="Arial"/>
          <w:bCs/>
        </w:rPr>
        <w:t xml:space="preserve"> was whether the </w:t>
      </w:r>
      <w:r w:rsidR="00280CD3">
        <w:rPr>
          <w:rFonts w:cs="Arial"/>
          <w:bCs/>
        </w:rPr>
        <w:t xml:space="preserve">whole of the </w:t>
      </w:r>
      <w:r w:rsidR="004714CD">
        <w:rPr>
          <w:rFonts w:cs="Arial"/>
          <w:bCs/>
        </w:rPr>
        <w:t xml:space="preserve">application land </w:t>
      </w:r>
      <w:r w:rsidR="00B5392A">
        <w:rPr>
          <w:rFonts w:cs="Arial"/>
          <w:bCs/>
        </w:rPr>
        <w:t xml:space="preserve">had been </w:t>
      </w:r>
      <w:r w:rsidR="00F1174A">
        <w:rPr>
          <w:rFonts w:cs="Arial"/>
          <w:bCs/>
        </w:rPr>
        <w:t xml:space="preserve">made </w:t>
      </w:r>
      <w:r w:rsidR="00B5392A">
        <w:rPr>
          <w:rFonts w:cs="Arial"/>
          <w:bCs/>
        </w:rPr>
        <w:t xml:space="preserve">subject to the byelaws </w:t>
      </w:r>
      <w:r w:rsidR="003742A8">
        <w:rPr>
          <w:rFonts w:cs="Arial"/>
          <w:bCs/>
        </w:rPr>
        <w:t xml:space="preserve">and thus implicitly appropriated. </w:t>
      </w:r>
      <w:r w:rsidR="003F3CDC">
        <w:rPr>
          <w:rFonts w:cs="Arial"/>
          <w:bCs/>
        </w:rPr>
        <w:t xml:space="preserve"> </w:t>
      </w:r>
    </w:p>
    <w:p w14:paraId="7A8D0CC7" w14:textId="0E5E54EB" w:rsidR="00024A92" w:rsidRPr="00024A92" w:rsidRDefault="00196C7A" w:rsidP="008E76A5">
      <w:pPr>
        <w:pStyle w:val="BodyText"/>
        <w:numPr>
          <w:ilvl w:val="0"/>
          <w:numId w:val="1"/>
        </w:numPr>
        <w:spacing w:line="360" w:lineRule="auto"/>
        <w:jc w:val="both"/>
        <w:rPr>
          <w:rFonts w:cs="Arial"/>
          <w:b/>
          <w:bCs/>
        </w:rPr>
      </w:pPr>
      <w:r w:rsidRPr="00043F06">
        <w:rPr>
          <w:rFonts w:cs="Arial"/>
          <w:bCs/>
        </w:rPr>
        <w:t xml:space="preserve">However, </w:t>
      </w:r>
      <w:r w:rsidR="004B7ADD" w:rsidRPr="00043F06">
        <w:rPr>
          <w:rFonts w:cs="Arial"/>
          <w:bCs/>
        </w:rPr>
        <w:t xml:space="preserve">the determination of the application by the Registration Authority of this application is not </w:t>
      </w:r>
      <w:r w:rsidR="004B7ADD" w:rsidRPr="00043F06">
        <w:rPr>
          <w:rFonts w:cs="Arial"/>
          <w:bCs/>
          <w:i/>
        </w:rPr>
        <w:t xml:space="preserve">inter </w:t>
      </w:r>
      <w:proofErr w:type="spellStart"/>
      <w:r w:rsidR="004B7ADD" w:rsidRPr="00043F06">
        <w:rPr>
          <w:rFonts w:cs="Arial"/>
          <w:bCs/>
          <w:i/>
        </w:rPr>
        <w:t>partes</w:t>
      </w:r>
      <w:proofErr w:type="spellEnd"/>
      <w:r w:rsidR="004B7ADD" w:rsidRPr="00043F06">
        <w:rPr>
          <w:rFonts w:cs="Arial"/>
          <w:bCs/>
          <w:i/>
        </w:rPr>
        <w:t xml:space="preserve"> </w:t>
      </w:r>
      <w:r w:rsidR="004B7ADD" w:rsidRPr="00043F06">
        <w:rPr>
          <w:rFonts w:cs="Arial"/>
          <w:bCs/>
        </w:rPr>
        <w:t xml:space="preserve">litigation </w:t>
      </w:r>
      <w:r w:rsidR="00086EBE" w:rsidRPr="00043F06">
        <w:rPr>
          <w:rFonts w:cs="Arial"/>
          <w:bCs/>
        </w:rPr>
        <w:t>and t</w:t>
      </w:r>
      <w:r w:rsidR="005116AC" w:rsidRPr="00043F06">
        <w:rPr>
          <w:rFonts w:cs="Arial"/>
          <w:bCs/>
        </w:rPr>
        <w:t xml:space="preserve">here is a clear public interest </w:t>
      </w:r>
      <w:r w:rsidR="00F44236">
        <w:rPr>
          <w:rFonts w:cs="Arial"/>
          <w:bCs/>
        </w:rPr>
        <w:t xml:space="preserve">in the matter overall: see for example on the point </w:t>
      </w:r>
      <w:r w:rsidR="00F44236" w:rsidRPr="004206F1">
        <w:rPr>
          <w:rFonts w:cs="Arial"/>
          <w:bCs/>
        </w:rPr>
        <w:t xml:space="preserve">the </w:t>
      </w:r>
      <w:r w:rsidR="00BC76FE">
        <w:rPr>
          <w:rFonts w:cs="Arial"/>
          <w:bCs/>
        </w:rPr>
        <w:t>Report</w:t>
      </w:r>
      <w:r w:rsidR="00F44236" w:rsidRPr="004206F1">
        <w:rPr>
          <w:rFonts w:cs="Arial"/>
          <w:bCs/>
        </w:rPr>
        <w:t xml:space="preserve"> o</w:t>
      </w:r>
      <w:r w:rsidR="00E856C8" w:rsidRPr="004206F1">
        <w:rPr>
          <w:rFonts w:cs="Arial"/>
          <w:bCs/>
        </w:rPr>
        <w:t xml:space="preserve">f Mr Vivian Chapman QC in the matter of an </w:t>
      </w:r>
      <w:r w:rsidR="00157282" w:rsidRPr="004206F1">
        <w:rPr>
          <w:rFonts w:cs="Arial"/>
          <w:bCs/>
        </w:rPr>
        <w:t>application</w:t>
      </w:r>
      <w:r w:rsidR="00E856C8" w:rsidRPr="004206F1">
        <w:rPr>
          <w:rFonts w:cs="Arial"/>
          <w:bCs/>
        </w:rPr>
        <w:t xml:space="preserve"> to register land</w:t>
      </w:r>
      <w:r w:rsidR="00A6101D" w:rsidRPr="004206F1">
        <w:rPr>
          <w:rFonts w:cs="Arial"/>
          <w:bCs/>
        </w:rPr>
        <w:t xml:space="preserve"> known as the Triangle, Gosport at [94]. </w:t>
      </w:r>
      <w:r w:rsidR="00E856C8">
        <w:rPr>
          <w:rFonts w:cs="Arial"/>
          <w:bCs/>
        </w:rPr>
        <w:t xml:space="preserve"> </w:t>
      </w:r>
    </w:p>
    <w:p w14:paraId="314CB0F2" w14:textId="114B8FD2" w:rsidR="00646ACE" w:rsidRPr="00330BDF" w:rsidRDefault="00043F06" w:rsidP="008E76A5">
      <w:pPr>
        <w:pStyle w:val="BodyText"/>
        <w:numPr>
          <w:ilvl w:val="0"/>
          <w:numId w:val="1"/>
        </w:numPr>
        <w:spacing w:line="360" w:lineRule="auto"/>
        <w:jc w:val="both"/>
        <w:rPr>
          <w:rFonts w:cs="Arial"/>
          <w:b/>
          <w:bCs/>
        </w:rPr>
      </w:pPr>
      <w:r>
        <w:rPr>
          <w:rFonts w:cs="Arial"/>
          <w:bCs/>
        </w:rPr>
        <w:t xml:space="preserve">I accept that in </w:t>
      </w:r>
      <w:r w:rsidR="00DD3ABA" w:rsidRPr="00AE2236">
        <w:rPr>
          <w:rFonts w:cs="Arial"/>
          <w:bCs/>
          <w:i/>
        </w:rPr>
        <w:t>Oxfordshire County Council v Oxford City Council</w:t>
      </w:r>
      <w:r w:rsidR="00DD3ABA" w:rsidRPr="00AE2236">
        <w:rPr>
          <w:rFonts w:cs="Arial"/>
          <w:bCs/>
        </w:rPr>
        <w:t xml:space="preserve"> </w:t>
      </w:r>
      <w:r w:rsidR="00DD3ABA" w:rsidRPr="00DD3ABA">
        <w:rPr>
          <w:rFonts w:cs="Arial"/>
          <w:bCs/>
        </w:rPr>
        <w:t>[2006] 2 AC 674</w:t>
      </w:r>
      <w:r w:rsidR="00DD3ABA" w:rsidRPr="00AE2236">
        <w:rPr>
          <w:rFonts w:cs="Arial"/>
          <w:bCs/>
        </w:rPr>
        <w:t xml:space="preserve"> (“</w:t>
      </w:r>
      <w:r w:rsidR="00DD3ABA" w:rsidRPr="00655561">
        <w:rPr>
          <w:rFonts w:cs="Arial"/>
          <w:bCs/>
          <w:i/>
        </w:rPr>
        <w:t>Trap Grounds</w:t>
      </w:r>
      <w:r w:rsidR="00DD3ABA" w:rsidRPr="00AE2236">
        <w:rPr>
          <w:rFonts w:cs="Arial"/>
          <w:bCs/>
        </w:rPr>
        <w:t>”)</w:t>
      </w:r>
      <w:r w:rsidR="00646ACE" w:rsidRPr="00646ACE">
        <w:rPr>
          <w:rFonts w:cs="Arial"/>
          <w:bCs/>
          <w:vertAlign w:val="superscript"/>
        </w:rPr>
        <w:footnoteReference w:id="6"/>
      </w:r>
      <w:r w:rsidR="00646ACE" w:rsidRPr="00043F06">
        <w:rPr>
          <w:rFonts w:cs="Arial"/>
          <w:bCs/>
        </w:rPr>
        <w:t xml:space="preserve"> it was said that</w:t>
      </w:r>
      <w:r w:rsidR="00646ACE" w:rsidRPr="00043F06">
        <w:rPr>
          <w:rFonts w:cs="Arial"/>
          <w:bCs/>
          <w:i/>
        </w:rPr>
        <w:t xml:space="preserve"> </w:t>
      </w:r>
      <w:r w:rsidR="00646ACE" w:rsidRPr="00043F06">
        <w:rPr>
          <w:rFonts w:cs="Arial"/>
          <w:bCs/>
        </w:rPr>
        <w:t>that the registration authority has no investigative duty in relation to town or village green applications which requires it to find evidence or to reformulate the applicant’s case.</w:t>
      </w:r>
      <w:r w:rsidR="00B209C6">
        <w:rPr>
          <w:rFonts w:cs="Arial"/>
          <w:bCs/>
        </w:rPr>
        <w:t xml:space="preserve"> </w:t>
      </w:r>
      <w:r w:rsidR="00913D71">
        <w:rPr>
          <w:rFonts w:cs="Arial"/>
          <w:bCs/>
        </w:rPr>
        <w:t xml:space="preserve">In this regard I would make a distinction between the two concessions offered by the Applicant. </w:t>
      </w:r>
      <w:r w:rsidR="001E0F1F">
        <w:rPr>
          <w:rFonts w:cs="Arial"/>
          <w:bCs/>
        </w:rPr>
        <w:t xml:space="preserve">In the first case, it </w:t>
      </w:r>
      <w:r w:rsidR="00F42885">
        <w:rPr>
          <w:rFonts w:cs="Arial"/>
          <w:bCs/>
        </w:rPr>
        <w:t>seems to me that the concession</w:t>
      </w:r>
      <w:r w:rsidR="001E0F1F">
        <w:rPr>
          <w:rFonts w:cs="Arial"/>
          <w:bCs/>
        </w:rPr>
        <w:t xml:space="preserve"> is equivalent to the Applicant saying that </w:t>
      </w:r>
      <w:r w:rsidR="00BA1B90">
        <w:rPr>
          <w:rFonts w:cs="Arial"/>
          <w:bCs/>
        </w:rPr>
        <w:t>it</w:t>
      </w:r>
      <w:r w:rsidR="001E0F1F">
        <w:rPr>
          <w:rFonts w:cs="Arial"/>
          <w:bCs/>
        </w:rPr>
        <w:t xml:space="preserve"> will not</w:t>
      </w:r>
      <w:r w:rsidR="00707EB9">
        <w:rPr>
          <w:rFonts w:cs="Arial"/>
          <w:bCs/>
        </w:rPr>
        <w:t xml:space="preserve"> or will not be able to</w:t>
      </w:r>
      <w:r w:rsidR="001E0F1F">
        <w:rPr>
          <w:rFonts w:cs="Arial"/>
          <w:bCs/>
        </w:rPr>
        <w:t xml:space="preserve"> </w:t>
      </w:r>
      <w:r w:rsidR="001E0F1F">
        <w:rPr>
          <w:rFonts w:cs="Arial"/>
          <w:bCs/>
        </w:rPr>
        <w:lastRenderedPageBreak/>
        <w:t>produce evidence</w:t>
      </w:r>
      <w:r w:rsidR="008F29F4">
        <w:rPr>
          <w:rFonts w:cs="Arial"/>
          <w:bCs/>
        </w:rPr>
        <w:t xml:space="preserve"> at an inquiry</w:t>
      </w:r>
      <w:r w:rsidR="001E0F1F">
        <w:rPr>
          <w:rFonts w:cs="Arial"/>
          <w:bCs/>
        </w:rPr>
        <w:t xml:space="preserve"> to support a claim under</w:t>
      </w:r>
      <w:r w:rsidR="003F3970">
        <w:rPr>
          <w:rFonts w:cs="Arial"/>
          <w:bCs/>
        </w:rPr>
        <w:t xml:space="preserve"> s.15(2) &amp; s.15(7)(b)</w:t>
      </w:r>
      <w:r w:rsidR="0042194B">
        <w:rPr>
          <w:rFonts w:cs="Arial"/>
          <w:bCs/>
        </w:rPr>
        <w:t xml:space="preserve"> of the 2006 Act</w:t>
      </w:r>
      <w:r w:rsidR="003F3970">
        <w:rPr>
          <w:rFonts w:cs="Arial"/>
          <w:bCs/>
        </w:rPr>
        <w:t>.</w:t>
      </w:r>
      <w:r w:rsidR="00FB5D14">
        <w:rPr>
          <w:rFonts w:cs="Arial"/>
          <w:bCs/>
        </w:rPr>
        <w:t xml:space="preserve"> </w:t>
      </w:r>
      <w:r w:rsidR="00E007DD">
        <w:rPr>
          <w:rFonts w:cs="Arial"/>
          <w:bCs/>
        </w:rPr>
        <w:t>The Applicant</w:t>
      </w:r>
      <w:r w:rsidR="00FB5D14">
        <w:rPr>
          <w:rFonts w:cs="Arial"/>
          <w:bCs/>
        </w:rPr>
        <w:t xml:space="preserve"> cannot be compelled to do this but, as </w:t>
      </w:r>
      <w:r w:rsidR="00112284">
        <w:rPr>
          <w:rFonts w:cs="Arial"/>
          <w:bCs/>
        </w:rPr>
        <w:t xml:space="preserve">is established, </w:t>
      </w:r>
      <w:r w:rsidR="00A557D3">
        <w:rPr>
          <w:rFonts w:cs="Arial"/>
          <w:bCs/>
        </w:rPr>
        <w:t>it</w:t>
      </w:r>
      <w:r w:rsidR="00112284">
        <w:rPr>
          <w:rFonts w:cs="Arial"/>
          <w:bCs/>
        </w:rPr>
        <w:t xml:space="preserve"> has no</w:t>
      </w:r>
      <w:r w:rsidR="00FB5D14">
        <w:rPr>
          <w:rFonts w:cs="Arial"/>
          <w:bCs/>
        </w:rPr>
        <w:t xml:space="preserve"> absolute right to withdraw the application.</w:t>
      </w:r>
      <w:r w:rsidR="006B72B0">
        <w:rPr>
          <w:rStyle w:val="FootnoteReference"/>
          <w:rFonts w:cs="Arial"/>
          <w:bCs/>
        </w:rPr>
        <w:footnoteReference w:id="7"/>
      </w:r>
      <w:r w:rsidR="003F3970">
        <w:rPr>
          <w:rFonts w:cs="Arial"/>
          <w:bCs/>
        </w:rPr>
        <w:t xml:space="preserve"> In the second case, the </w:t>
      </w:r>
      <w:r w:rsidR="00F7489E">
        <w:rPr>
          <w:rFonts w:cs="Arial"/>
          <w:bCs/>
        </w:rPr>
        <w:t xml:space="preserve">concession </w:t>
      </w:r>
      <w:r w:rsidR="002A51B2">
        <w:rPr>
          <w:rFonts w:cs="Arial"/>
          <w:bCs/>
        </w:rPr>
        <w:t>is one of a highly legal character</w:t>
      </w:r>
      <w:r w:rsidR="003F3970">
        <w:rPr>
          <w:rFonts w:cs="Arial"/>
          <w:bCs/>
        </w:rPr>
        <w:t>.</w:t>
      </w:r>
      <w:r w:rsidR="00A302FC">
        <w:rPr>
          <w:rFonts w:cs="Arial"/>
          <w:bCs/>
        </w:rPr>
        <w:t xml:space="preserve"> In</w:t>
      </w:r>
      <w:r w:rsidR="00F52B03">
        <w:rPr>
          <w:rFonts w:cs="Arial"/>
          <w:bCs/>
        </w:rPr>
        <w:t xml:space="preserve"> my view, while evidential concessions </w:t>
      </w:r>
      <w:r w:rsidR="00E54370">
        <w:rPr>
          <w:rFonts w:cs="Arial"/>
          <w:bCs/>
        </w:rPr>
        <w:t xml:space="preserve">are </w:t>
      </w:r>
      <w:r w:rsidR="00165274">
        <w:rPr>
          <w:rFonts w:cs="Arial"/>
          <w:bCs/>
        </w:rPr>
        <w:t xml:space="preserve">perhaps </w:t>
      </w:r>
      <w:r w:rsidR="00E54370">
        <w:rPr>
          <w:rFonts w:cs="Arial"/>
          <w:bCs/>
        </w:rPr>
        <w:t>more readily accepted</w:t>
      </w:r>
      <w:r w:rsidR="00127E9B">
        <w:rPr>
          <w:rFonts w:cs="Arial"/>
          <w:bCs/>
        </w:rPr>
        <w:t xml:space="preserve"> it is</w:t>
      </w:r>
      <w:r w:rsidR="00E54370">
        <w:rPr>
          <w:rFonts w:cs="Arial"/>
          <w:bCs/>
        </w:rPr>
        <w:t xml:space="preserve"> </w:t>
      </w:r>
      <w:r w:rsidR="00A302FC">
        <w:rPr>
          <w:rFonts w:cs="Arial"/>
          <w:bCs/>
        </w:rPr>
        <w:t xml:space="preserve">open to the Registration Authority to disregard </w:t>
      </w:r>
      <w:r w:rsidR="00B008D8">
        <w:rPr>
          <w:rFonts w:cs="Arial"/>
          <w:bCs/>
        </w:rPr>
        <w:t xml:space="preserve">a legal concession </w:t>
      </w:r>
      <w:r w:rsidR="00EA53C3">
        <w:rPr>
          <w:rFonts w:cs="Arial"/>
          <w:bCs/>
        </w:rPr>
        <w:t>of the kind offered</w:t>
      </w:r>
      <w:r w:rsidR="00DD4B50">
        <w:rPr>
          <w:rFonts w:cs="Arial"/>
          <w:bCs/>
        </w:rPr>
        <w:t xml:space="preserve"> in the instant case.</w:t>
      </w:r>
      <w:r w:rsidR="00BB45BE">
        <w:rPr>
          <w:rFonts w:cs="Arial"/>
          <w:bCs/>
        </w:rPr>
        <w:t xml:space="preserve"> </w:t>
      </w:r>
      <w:r w:rsidR="00B008D8">
        <w:rPr>
          <w:rFonts w:cs="Arial"/>
          <w:bCs/>
        </w:rPr>
        <w:t xml:space="preserve">I will </w:t>
      </w:r>
      <w:r w:rsidR="00B13832">
        <w:rPr>
          <w:rFonts w:cs="Arial"/>
          <w:bCs/>
        </w:rPr>
        <w:t xml:space="preserve">therefore </w:t>
      </w:r>
      <w:r w:rsidR="00B008D8">
        <w:rPr>
          <w:rFonts w:cs="Arial"/>
          <w:bCs/>
        </w:rPr>
        <w:t>consider for myself what the correct positio</w:t>
      </w:r>
      <w:r w:rsidR="00351B53">
        <w:rPr>
          <w:rFonts w:cs="Arial"/>
          <w:bCs/>
        </w:rPr>
        <w:t>n is</w:t>
      </w:r>
      <w:r w:rsidR="003A69BD">
        <w:rPr>
          <w:rFonts w:cs="Arial"/>
          <w:bCs/>
        </w:rPr>
        <w:t xml:space="preserve"> </w:t>
      </w:r>
      <w:proofErr w:type="spellStart"/>
      <w:r w:rsidR="003A69BD">
        <w:rPr>
          <w:rFonts w:cs="Arial"/>
          <w:bCs/>
          <w:i/>
        </w:rPr>
        <w:t>viz</w:t>
      </w:r>
      <w:proofErr w:type="spellEnd"/>
      <w:r w:rsidR="003A69BD">
        <w:rPr>
          <w:rFonts w:cs="Arial"/>
          <w:bCs/>
        </w:rPr>
        <w:t xml:space="preserve"> the byelaws</w:t>
      </w:r>
      <w:r w:rsidR="00351B53">
        <w:rPr>
          <w:rFonts w:cs="Arial"/>
          <w:bCs/>
        </w:rPr>
        <w:t xml:space="preserve"> and recommend accordingly. </w:t>
      </w:r>
      <w:r w:rsidR="00CD0205">
        <w:rPr>
          <w:rFonts w:cs="Arial"/>
          <w:bCs/>
        </w:rPr>
        <w:t>I</w:t>
      </w:r>
      <w:r w:rsidR="006E2DE1">
        <w:rPr>
          <w:rFonts w:cs="Arial"/>
          <w:bCs/>
        </w:rPr>
        <w:t xml:space="preserve"> should add that I</w:t>
      </w:r>
      <w:r w:rsidR="00CD0205">
        <w:rPr>
          <w:rFonts w:cs="Arial"/>
          <w:bCs/>
        </w:rPr>
        <w:t xml:space="preserve"> accept that the concession on </w:t>
      </w:r>
      <w:proofErr w:type="gramStart"/>
      <w:r w:rsidR="00CD0205">
        <w:rPr>
          <w:rFonts w:cs="Arial"/>
          <w:bCs/>
        </w:rPr>
        <w:t>s.15(</w:t>
      </w:r>
      <w:proofErr w:type="gramEnd"/>
      <w:r w:rsidR="00CD0205">
        <w:rPr>
          <w:rFonts w:cs="Arial"/>
          <w:bCs/>
        </w:rPr>
        <w:t>7)(b) has been made on the Applicant’s own, infor</w:t>
      </w:r>
      <w:r w:rsidR="001657F1">
        <w:rPr>
          <w:rFonts w:cs="Arial"/>
          <w:bCs/>
        </w:rPr>
        <w:t>med, assessment of the evidence</w:t>
      </w:r>
      <w:r w:rsidR="005D545B">
        <w:rPr>
          <w:rFonts w:cs="Arial"/>
          <w:bCs/>
        </w:rPr>
        <w:t xml:space="preserve"> in this case</w:t>
      </w:r>
      <w:r w:rsidR="001657F1">
        <w:rPr>
          <w:rFonts w:cs="Arial"/>
          <w:bCs/>
        </w:rPr>
        <w:t xml:space="preserve"> and ought to be accepted by the Reg</w:t>
      </w:r>
      <w:r w:rsidR="00880E55">
        <w:rPr>
          <w:rFonts w:cs="Arial"/>
          <w:bCs/>
        </w:rPr>
        <w:t xml:space="preserve">istration Authority. </w:t>
      </w:r>
    </w:p>
    <w:p w14:paraId="659B0091" w14:textId="2D0081B8" w:rsidR="00203750" w:rsidRDefault="00203750" w:rsidP="00203750">
      <w:pPr>
        <w:pStyle w:val="BodyText"/>
        <w:spacing w:line="360" w:lineRule="auto"/>
        <w:jc w:val="both"/>
        <w:rPr>
          <w:rFonts w:cs="Arial"/>
          <w:b/>
          <w:bCs/>
        </w:rPr>
      </w:pPr>
      <w:r>
        <w:rPr>
          <w:rFonts w:cs="Arial"/>
          <w:b/>
          <w:bCs/>
        </w:rPr>
        <w:t xml:space="preserve">CLARIFICATION OF EXTENT OF APPROPRIATION &amp; AREAS OTHERWISE CLEARLY NOT </w:t>
      </w:r>
      <w:r w:rsidR="008372C3">
        <w:rPr>
          <w:rFonts w:cs="Arial"/>
          <w:b/>
          <w:bCs/>
        </w:rPr>
        <w:t>AVALIABLE</w:t>
      </w:r>
      <w:r>
        <w:rPr>
          <w:rFonts w:cs="Arial"/>
          <w:b/>
          <w:bCs/>
        </w:rPr>
        <w:t xml:space="preserve"> FOR REGISTRATION</w:t>
      </w:r>
    </w:p>
    <w:p w14:paraId="6F8DF9B9" w14:textId="50B7704F" w:rsidR="00A170A6" w:rsidRDefault="000A2226" w:rsidP="00E72100">
      <w:pPr>
        <w:pStyle w:val="BodyText"/>
        <w:numPr>
          <w:ilvl w:val="0"/>
          <w:numId w:val="1"/>
        </w:numPr>
        <w:spacing w:line="360" w:lineRule="auto"/>
        <w:jc w:val="both"/>
        <w:rPr>
          <w:rFonts w:cs="Arial"/>
          <w:bCs/>
        </w:rPr>
      </w:pPr>
      <w:r>
        <w:rPr>
          <w:rFonts w:cs="Arial"/>
          <w:bCs/>
        </w:rPr>
        <w:t xml:space="preserve">In his </w:t>
      </w:r>
      <w:r w:rsidR="00823BBB">
        <w:rPr>
          <w:rFonts w:cs="Arial"/>
          <w:bCs/>
        </w:rPr>
        <w:t>witness statement</w:t>
      </w:r>
      <w:r w:rsidR="00EC0A24" w:rsidRPr="00EC0A24">
        <w:rPr>
          <w:rFonts w:cs="Arial"/>
          <w:bCs/>
        </w:rPr>
        <w:t xml:space="preserve"> </w:t>
      </w:r>
      <w:r w:rsidR="00EC0A24">
        <w:rPr>
          <w:rFonts w:cs="Arial"/>
          <w:bCs/>
        </w:rPr>
        <w:t xml:space="preserve">before the inquiry </w:t>
      </w:r>
      <w:r w:rsidR="00823BBB">
        <w:rPr>
          <w:rFonts w:cs="Arial"/>
          <w:bCs/>
        </w:rPr>
        <w:t xml:space="preserve">Mr </w:t>
      </w:r>
      <w:r w:rsidR="00EC0A24">
        <w:rPr>
          <w:rFonts w:cs="Arial"/>
          <w:bCs/>
        </w:rPr>
        <w:t xml:space="preserve">Kelvin </w:t>
      </w:r>
      <w:r w:rsidR="00823BBB">
        <w:rPr>
          <w:rFonts w:cs="Arial"/>
          <w:bCs/>
        </w:rPr>
        <w:t>Dent</w:t>
      </w:r>
      <w:r w:rsidR="00962130">
        <w:rPr>
          <w:rStyle w:val="FootnoteReference"/>
          <w:rFonts w:cs="Arial"/>
          <w:bCs/>
        </w:rPr>
        <w:footnoteReference w:id="8"/>
      </w:r>
      <w:r w:rsidR="00823BBB">
        <w:rPr>
          <w:rFonts w:cs="Arial"/>
          <w:bCs/>
        </w:rPr>
        <w:t xml:space="preserve"> – the Vice Chair of the Applicant - </w:t>
      </w:r>
      <w:r w:rsidR="00167620">
        <w:rPr>
          <w:rFonts w:cs="Arial"/>
          <w:bCs/>
        </w:rPr>
        <w:t xml:space="preserve">exhibited </w:t>
      </w:r>
      <w:r w:rsidR="00EE08DF">
        <w:rPr>
          <w:rFonts w:cs="Arial"/>
          <w:bCs/>
        </w:rPr>
        <w:t>a</w:t>
      </w:r>
      <w:r w:rsidR="007C5D02">
        <w:rPr>
          <w:rFonts w:cs="Arial"/>
          <w:bCs/>
        </w:rPr>
        <w:t xml:space="preserve"> plan showing two area</w:t>
      </w:r>
      <w:r w:rsidR="00746860">
        <w:rPr>
          <w:rFonts w:cs="Arial"/>
          <w:bCs/>
        </w:rPr>
        <w:t>s</w:t>
      </w:r>
      <w:r w:rsidR="00D90470">
        <w:rPr>
          <w:rFonts w:cs="Arial"/>
          <w:bCs/>
        </w:rPr>
        <w:t xml:space="preserve"> hatched red that he sought to exclude from the application. </w:t>
      </w:r>
      <w:r w:rsidR="005A6982">
        <w:rPr>
          <w:rFonts w:cs="Arial"/>
          <w:bCs/>
        </w:rPr>
        <w:t>One area he described as being around the western access to the Council’s offices – comprising a grass t</w:t>
      </w:r>
      <w:r w:rsidR="004538AD">
        <w:rPr>
          <w:rFonts w:cs="Arial"/>
          <w:bCs/>
        </w:rPr>
        <w:t>riangle adjacent to the offices that</w:t>
      </w:r>
      <w:r w:rsidR="005A6982">
        <w:rPr>
          <w:rFonts w:cs="Arial"/>
          <w:bCs/>
        </w:rPr>
        <w:t xml:space="preserve"> </w:t>
      </w:r>
      <w:r w:rsidR="00030472">
        <w:rPr>
          <w:rFonts w:cs="Arial"/>
          <w:bCs/>
        </w:rPr>
        <w:t>are</w:t>
      </w:r>
      <w:r w:rsidR="005A6982">
        <w:rPr>
          <w:rFonts w:cs="Arial"/>
          <w:bCs/>
        </w:rPr>
        <w:t xml:space="preserve"> fully enclosed, two small buildings and the western access road itself. </w:t>
      </w:r>
      <w:r w:rsidR="004538AD">
        <w:rPr>
          <w:rFonts w:cs="Arial"/>
          <w:bCs/>
        </w:rPr>
        <w:t xml:space="preserve">The second area Mr Dent described as the works area, which has a number of structures on it including a </w:t>
      </w:r>
      <w:proofErr w:type="spellStart"/>
      <w:r w:rsidR="004538AD">
        <w:rPr>
          <w:rFonts w:cs="Arial"/>
          <w:bCs/>
        </w:rPr>
        <w:t>port</w:t>
      </w:r>
      <w:r w:rsidR="006449B0">
        <w:rPr>
          <w:rFonts w:cs="Arial"/>
          <w:bCs/>
        </w:rPr>
        <w:t>acabin</w:t>
      </w:r>
      <w:proofErr w:type="spellEnd"/>
      <w:r w:rsidR="006449B0">
        <w:rPr>
          <w:rFonts w:cs="Arial"/>
          <w:bCs/>
        </w:rPr>
        <w:t xml:space="preserve"> and </w:t>
      </w:r>
      <w:proofErr w:type="spellStart"/>
      <w:r w:rsidR="006449B0">
        <w:rPr>
          <w:rFonts w:cs="Arial"/>
          <w:bCs/>
        </w:rPr>
        <w:t>polytunnels</w:t>
      </w:r>
      <w:proofErr w:type="spellEnd"/>
      <w:r w:rsidR="006449B0">
        <w:rPr>
          <w:rFonts w:cs="Arial"/>
          <w:bCs/>
        </w:rPr>
        <w:t xml:space="preserve"> and incapable of registration. </w:t>
      </w:r>
      <w:r w:rsidR="00F03190">
        <w:rPr>
          <w:rFonts w:cs="Arial"/>
          <w:bCs/>
        </w:rPr>
        <w:t xml:space="preserve">Having looked at both areas </w:t>
      </w:r>
      <w:r w:rsidR="00F532F8">
        <w:rPr>
          <w:rFonts w:cs="Arial"/>
          <w:bCs/>
        </w:rPr>
        <w:t xml:space="preserve">I regard these as sensible concessions. </w:t>
      </w:r>
    </w:p>
    <w:p w14:paraId="074CFF3B" w14:textId="1D4B079B" w:rsidR="00EC0376" w:rsidRDefault="00EC0376" w:rsidP="00E72100">
      <w:pPr>
        <w:pStyle w:val="BodyText"/>
        <w:numPr>
          <w:ilvl w:val="0"/>
          <w:numId w:val="1"/>
        </w:numPr>
        <w:spacing w:line="360" w:lineRule="auto"/>
        <w:jc w:val="both"/>
        <w:rPr>
          <w:rFonts w:cs="Arial"/>
          <w:bCs/>
        </w:rPr>
      </w:pPr>
      <w:r>
        <w:rPr>
          <w:rFonts w:cs="Arial"/>
          <w:bCs/>
        </w:rPr>
        <w:t xml:space="preserve">There was, at the time of the inquiry, some debate </w:t>
      </w:r>
      <w:r w:rsidR="008A6548">
        <w:rPr>
          <w:rFonts w:cs="Arial"/>
          <w:bCs/>
        </w:rPr>
        <w:t xml:space="preserve">between the Objector and the Applicant as to the exact </w:t>
      </w:r>
      <w:r w:rsidR="0089543E">
        <w:rPr>
          <w:rFonts w:cs="Arial"/>
          <w:bCs/>
        </w:rPr>
        <w:t xml:space="preserve">boundaries of the land covered by the application </w:t>
      </w:r>
      <w:proofErr w:type="spellStart"/>
      <w:r w:rsidR="0089543E">
        <w:rPr>
          <w:rFonts w:cs="Arial"/>
          <w:bCs/>
          <w:i/>
        </w:rPr>
        <w:t>viz</w:t>
      </w:r>
      <w:proofErr w:type="spellEnd"/>
      <w:r w:rsidR="0089543E">
        <w:rPr>
          <w:rFonts w:cs="Arial"/>
          <w:bCs/>
          <w:i/>
        </w:rPr>
        <w:t xml:space="preserve"> </w:t>
      </w:r>
      <w:r w:rsidR="0089543E">
        <w:rPr>
          <w:rFonts w:cs="Arial"/>
          <w:bCs/>
        </w:rPr>
        <w:t>the inclusion of a small area in front of the council offices. After the conclusion of the inquiry, I was provided</w:t>
      </w:r>
      <w:r w:rsidR="00536F77">
        <w:rPr>
          <w:rFonts w:cs="Arial"/>
          <w:bCs/>
        </w:rPr>
        <w:t xml:space="preserve"> on 29 April 2014</w:t>
      </w:r>
      <w:r w:rsidR="0089543E">
        <w:rPr>
          <w:rFonts w:cs="Arial"/>
          <w:bCs/>
        </w:rPr>
        <w:t xml:space="preserve"> with an agreed plan of the application site </w:t>
      </w:r>
      <w:r w:rsidR="00120A4D">
        <w:rPr>
          <w:rFonts w:cs="Arial"/>
          <w:bCs/>
        </w:rPr>
        <w:t>that</w:t>
      </w:r>
      <w:r w:rsidR="0089543E">
        <w:rPr>
          <w:rFonts w:cs="Arial"/>
          <w:bCs/>
        </w:rPr>
        <w:t xml:space="preserve"> h</w:t>
      </w:r>
      <w:r w:rsidR="00536F77">
        <w:rPr>
          <w:rFonts w:cs="Arial"/>
          <w:bCs/>
        </w:rPr>
        <w:t xml:space="preserve">ad been plotted by the Objector. </w:t>
      </w:r>
      <w:r w:rsidR="009E7F07">
        <w:rPr>
          <w:rFonts w:cs="Arial"/>
          <w:bCs/>
        </w:rPr>
        <w:t>The e-mail, from the Objector’s solicitor, containing the said plan stated as follows:</w:t>
      </w:r>
    </w:p>
    <w:p w14:paraId="71E0DF94" w14:textId="0045CE3B" w:rsidR="009E7F07" w:rsidRPr="009E7F07" w:rsidRDefault="009E7F07" w:rsidP="009E7F07">
      <w:pPr>
        <w:pStyle w:val="BodyText"/>
        <w:spacing w:line="360" w:lineRule="auto"/>
        <w:ind w:left="720"/>
        <w:jc w:val="both"/>
        <w:rPr>
          <w:rFonts w:cs="Arial"/>
          <w:bCs/>
          <w:i/>
          <w:lang w:val="en-US"/>
        </w:rPr>
      </w:pPr>
      <w:r>
        <w:rPr>
          <w:rFonts w:cs="Arial"/>
          <w:bCs/>
          <w:i/>
          <w:lang w:val="en-US"/>
        </w:rPr>
        <w:t>“</w:t>
      </w:r>
      <w:r w:rsidRPr="009E7F07">
        <w:rPr>
          <w:rFonts w:cs="Arial"/>
          <w:bCs/>
          <w:i/>
          <w:lang w:val="en-US"/>
        </w:rPr>
        <w:t>Further to the inquiry of 10</w:t>
      </w:r>
      <w:r w:rsidRPr="009E7F07">
        <w:rPr>
          <w:rFonts w:cs="Arial"/>
          <w:bCs/>
          <w:i/>
          <w:vertAlign w:val="superscript"/>
          <w:lang w:val="en-US"/>
        </w:rPr>
        <w:t>th</w:t>
      </w:r>
      <w:r w:rsidRPr="009E7F07">
        <w:rPr>
          <w:rFonts w:cs="Arial"/>
          <w:bCs/>
          <w:i/>
          <w:lang w:val="en-US"/>
        </w:rPr>
        <w:t xml:space="preserve"> April in respect of the above matter, the Applicant and the Objector have been able to agree a further plan for your use.</w:t>
      </w:r>
    </w:p>
    <w:p w14:paraId="7F3E0763" w14:textId="1C42F0B0" w:rsidR="009E7F07" w:rsidRPr="009E7F07" w:rsidRDefault="009E7F07" w:rsidP="009E7F07">
      <w:pPr>
        <w:pStyle w:val="BodyText"/>
        <w:spacing w:line="360" w:lineRule="auto"/>
        <w:ind w:left="720"/>
        <w:jc w:val="both"/>
        <w:rPr>
          <w:rFonts w:cs="Arial"/>
          <w:bCs/>
          <w:i/>
          <w:lang w:val="en-US"/>
        </w:rPr>
      </w:pPr>
      <w:r w:rsidRPr="009E7F07">
        <w:rPr>
          <w:rFonts w:cs="Arial"/>
          <w:bCs/>
          <w:i/>
          <w:lang w:val="en-US"/>
        </w:rPr>
        <w:lastRenderedPageBreak/>
        <w:t>I attach the same (a hard copy will also follow in the post) and would ask you to note the following;</w:t>
      </w:r>
    </w:p>
    <w:p w14:paraId="7F79BB78" w14:textId="71B98159" w:rsidR="009E7F07" w:rsidRPr="009E7F07" w:rsidRDefault="009E7F07" w:rsidP="009E7F07">
      <w:pPr>
        <w:pStyle w:val="BodyText"/>
        <w:spacing w:line="360" w:lineRule="auto"/>
        <w:ind w:left="720"/>
        <w:jc w:val="both"/>
        <w:rPr>
          <w:rFonts w:cs="Arial"/>
          <w:bCs/>
          <w:i/>
          <w:lang w:val="en-US"/>
        </w:rPr>
      </w:pPr>
      <w:r w:rsidRPr="009E7F07">
        <w:rPr>
          <w:rFonts w:cs="Arial"/>
          <w:bCs/>
          <w:i/>
          <w:lang w:val="en-US"/>
        </w:rPr>
        <w:t>The blue line (application boundary) has been amended to remove the two areas shown on KD1 (Applicant’s bundle page 16). The grey hatching represents the areas removed.</w:t>
      </w:r>
    </w:p>
    <w:p w14:paraId="50A1ADF2" w14:textId="43AC893F" w:rsidR="00203750" w:rsidRDefault="009E7F07" w:rsidP="003E0563">
      <w:pPr>
        <w:pStyle w:val="BodyText"/>
        <w:spacing w:line="360" w:lineRule="auto"/>
        <w:ind w:left="720"/>
        <w:jc w:val="both"/>
        <w:rPr>
          <w:rFonts w:cs="Arial"/>
          <w:bCs/>
          <w:i/>
          <w:lang w:val="en-US"/>
        </w:rPr>
      </w:pPr>
      <w:r w:rsidRPr="009E7F07">
        <w:rPr>
          <w:rFonts w:cs="Arial"/>
          <w:bCs/>
          <w:i/>
          <w:lang w:val="en-US"/>
        </w:rPr>
        <w:t>There is also an amendment to the south eastern corner of the building (to exclude the path around the raised patio area as discussed on the site visit) but it is not possible to identify this change on the plan in any meaningful way. Comparison between this latest plan and the plan contained at page 86a of the Objector’s bundle will hopefully assist in identifying the change – it is pretty much dead centre of the plan.</w:t>
      </w:r>
      <w:r w:rsidR="003E0563">
        <w:rPr>
          <w:rFonts w:cs="Arial"/>
          <w:bCs/>
          <w:i/>
          <w:lang w:val="en-US"/>
        </w:rPr>
        <w:t>”</w:t>
      </w:r>
    </w:p>
    <w:p w14:paraId="039E7F5A" w14:textId="46EA7653" w:rsidR="00431C12" w:rsidRPr="00884D19" w:rsidRDefault="00431C12" w:rsidP="00431C12">
      <w:pPr>
        <w:pStyle w:val="BodyText"/>
        <w:numPr>
          <w:ilvl w:val="0"/>
          <w:numId w:val="1"/>
        </w:numPr>
        <w:spacing w:line="360" w:lineRule="auto"/>
        <w:jc w:val="both"/>
        <w:rPr>
          <w:rFonts w:cs="Arial"/>
          <w:bCs/>
        </w:rPr>
      </w:pPr>
      <w:r w:rsidRPr="00884D19">
        <w:rPr>
          <w:rFonts w:cs="Arial"/>
          <w:bCs/>
        </w:rPr>
        <w:t xml:space="preserve">The </w:t>
      </w:r>
      <w:r w:rsidR="00DA52D5" w:rsidRPr="00884D19">
        <w:rPr>
          <w:rFonts w:cs="Arial"/>
          <w:bCs/>
        </w:rPr>
        <w:t>r</w:t>
      </w:r>
      <w:r w:rsidR="003C19D2" w:rsidRPr="00884D19">
        <w:rPr>
          <w:rFonts w:cs="Arial"/>
          <w:bCs/>
        </w:rPr>
        <w:t>esult of all this was tha</w:t>
      </w:r>
      <w:r w:rsidR="000A4355" w:rsidRPr="00884D19">
        <w:rPr>
          <w:rFonts w:cs="Arial"/>
          <w:bCs/>
        </w:rPr>
        <w:t xml:space="preserve">t – subtracting the </w:t>
      </w:r>
      <w:r w:rsidR="001467E3" w:rsidRPr="00884D19">
        <w:rPr>
          <w:rFonts w:cs="Arial"/>
          <w:bCs/>
        </w:rPr>
        <w:t xml:space="preserve">land appropriated in 1973 and the land the Applicant no longer maintains its application over – </w:t>
      </w:r>
      <w:r w:rsidR="004B3C23" w:rsidRPr="00884D19">
        <w:rPr>
          <w:rFonts w:cs="Arial"/>
          <w:bCs/>
        </w:rPr>
        <w:t xml:space="preserve">that only a very small percentage of the Knowle remains for consideration. </w:t>
      </w:r>
      <w:r w:rsidR="00D11844" w:rsidRPr="00884D19">
        <w:rPr>
          <w:rFonts w:cs="Arial"/>
          <w:bCs/>
        </w:rPr>
        <w:t xml:space="preserve">The areas are shown well on the plans produced </w:t>
      </w:r>
      <w:r w:rsidR="006042F2" w:rsidRPr="00884D19">
        <w:rPr>
          <w:rFonts w:cs="Arial"/>
          <w:bCs/>
        </w:rPr>
        <w:t>by the O</w:t>
      </w:r>
      <w:r w:rsidR="00C10176" w:rsidRPr="00884D19">
        <w:rPr>
          <w:rFonts w:cs="Arial"/>
          <w:bCs/>
        </w:rPr>
        <w:t>bjector for the inquiry and the</w:t>
      </w:r>
      <w:r w:rsidR="006042F2" w:rsidRPr="00884D19">
        <w:rPr>
          <w:rFonts w:cs="Arial"/>
          <w:bCs/>
        </w:rPr>
        <w:t xml:space="preserve"> </w:t>
      </w:r>
      <w:r w:rsidR="00932B2E" w:rsidRPr="00884D19">
        <w:rPr>
          <w:rFonts w:cs="Arial"/>
          <w:bCs/>
        </w:rPr>
        <w:t xml:space="preserve">subsequent </w:t>
      </w:r>
      <w:r w:rsidR="006042F2" w:rsidRPr="00884D19">
        <w:rPr>
          <w:rFonts w:cs="Arial"/>
          <w:bCs/>
        </w:rPr>
        <w:t>plan agreed between the parties referred to above.</w:t>
      </w:r>
      <w:r w:rsidR="00D11844" w:rsidRPr="00884D19">
        <w:rPr>
          <w:rFonts w:cs="Arial"/>
          <w:bCs/>
        </w:rPr>
        <w:t xml:space="preserve"> </w:t>
      </w:r>
      <w:r w:rsidR="00051AF1" w:rsidRPr="00884D19">
        <w:rPr>
          <w:rFonts w:cs="Arial"/>
          <w:bCs/>
        </w:rPr>
        <w:t xml:space="preserve">Principally, the area includes </w:t>
      </w:r>
      <w:r w:rsidR="009C046D" w:rsidRPr="00884D19">
        <w:rPr>
          <w:rFonts w:cs="Arial"/>
          <w:bCs/>
        </w:rPr>
        <w:t xml:space="preserve">a small raised lawn area to the immediate south </w:t>
      </w:r>
      <w:r w:rsidR="00596BB2" w:rsidRPr="00884D19">
        <w:rPr>
          <w:rFonts w:cs="Arial"/>
          <w:bCs/>
        </w:rPr>
        <w:t>of the office buildings and a further piece of irregularly shaped land to the</w:t>
      </w:r>
      <w:r w:rsidR="00456DE0" w:rsidRPr="00884D19">
        <w:rPr>
          <w:rFonts w:cs="Arial"/>
          <w:bCs/>
        </w:rPr>
        <w:t xml:space="preserve"> south.</w:t>
      </w:r>
      <w:r w:rsidR="00843B98" w:rsidRPr="00884D19">
        <w:rPr>
          <w:rFonts w:cs="Arial"/>
          <w:bCs/>
        </w:rPr>
        <w:t xml:space="preserve"> </w:t>
      </w:r>
      <w:r w:rsidR="00547EE2" w:rsidRPr="00884D19">
        <w:rPr>
          <w:rFonts w:cs="Arial"/>
          <w:bCs/>
        </w:rPr>
        <w:t xml:space="preserve">It also includes an area to east of the </w:t>
      </w:r>
      <w:r w:rsidR="000D2CED" w:rsidRPr="00884D19">
        <w:rPr>
          <w:rFonts w:cs="Arial"/>
          <w:bCs/>
        </w:rPr>
        <w:t xml:space="preserve">office </w:t>
      </w:r>
      <w:r w:rsidR="00AA1D69" w:rsidRPr="00884D19">
        <w:rPr>
          <w:rFonts w:cs="Arial"/>
          <w:bCs/>
        </w:rPr>
        <w:t>buildings that</w:t>
      </w:r>
      <w:r w:rsidR="000D2CED" w:rsidRPr="00884D19">
        <w:rPr>
          <w:rFonts w:cs="Arial"/>
          <w:bCs/>
        </w:rPr>
        <w:t xml:space="preserve"> is no</w:t>
      </w:r>
      <w:r w:rsidR="008761E7" w:rsidRPr="00884D19">
        <w:rPr>
          <w:rFonts w:cs="Arial"/>
          <w:bCs/>
        </w:rPr>
        <w:t>w a hard-surfaced car park area, together with the road that winds down</w:t>
      </w:r>
      <w:r w:rsidR="009633C6" w:rsidRPr="00884D19">
        <w:rPr>
          <w:rFonts w:cs="Arial"/>
          <w:bCs/>
        </w:rPr>
        <w:t xml:space="preserve"> </w:t>
      </w:r>
      <w:r w:rsidR="008761E7" w:rsidRPr="00884D19">
        <w:rPr>
          <w:rFonts w:cs="Arial"/>
          <w:bCs/>
        </w:rPr>
        <w:t xml:space="preserve">to the </w:t>
      </w:r>
      <w:r w:rsidR="00BE1349" w:rsidRPr="00884D19">
        <w:rPr>
          <w:rFonts w:cs="Arial"/>
          <w:bCs/>
        </w:rPr>
        <w:t xml:space="preserve">vehicular </w:t>
      </w:r>
      <w:r w:rsidR="008761E7" w:rsidRPr="00884D19">
        <w:rPr>
          <w:rFonts w:cs="Arial"/>
          <w:bCs/>
        </w:rPr>
        <w:t>entrance on</w:t>
      </w:r>
      <w:r w:rsidR="00C85735" w:rsidRPr="00884D19">
        <w:rPr>
          <w:rFonts w:cs="Arial"/>
          <w:bCs/>
        </w:rPr>
        <w:t xml:space="preserve"> Station Road.</w:t>
      </w:r>
      <w:r w:rsidR="00824549" w:rsidRPr="00884D19">
        <w:rPr>
          <w:rFonts w:cs="Arial"/>
          <w:bCs/>
        </w:rPr>
        <w:t xml:space="preserve"> It includes the large car park in the north of the land. </w:t>
      </w:r>
      <w:r w:rsidR="00AF55FD" w:rsidRPr="00884D19">
        <w:rPr>
          <w:rFonts w:cs="Arial"/>
          <w:bCs/>
        </w:rPr>
        <w:t xml:space="preserve">I should say also that it includes the very small verges to these area </w:t>
      </w:r>
      <w:r w:rsidR="00884D19">
        <w:rPr>
          <w:rFonts w:cs="Arial"/>
          <w:bCs/>
        </w:rPr>
        <w:t xml:space="preserve">listed. </w:t>
      </w:r>
      <w:r w:rsidR="00384A42">
        <w:rPr>
          <w:rFonts w:cs="Arial"/>
          <w:bCs/>
        </w:rPr>
        <w:t xml:space="preserve">At the inquiry there was, naturally, a focus on the raised lawn or upper lawn area as it seemed the most plausible area in which the inhabitants might have enjoyed recreation. </w:t>
      </w:r>
      <w:r w:rsidR="008761E7" w:rsidRPr="00884D19">
        <w:rPr>
          <w:rFonts w:cs="Arial"/>
          <w:bCs/>
        </w:rPr>
        <w:t xml:space="preserve"> </w:t>
      </w:r>
      <w:r w:rsidR="00456DE0" w:rsidRPr="00884D19">
        <w:rPr>
          <w:rFonts w:cs="Arial"/>
          <w:bCs/>
        </w:rPr>
        <w:t xml:space="preserve"> </w:t>
      </w:r>
      <w:r w:rsidR="00596BB2" w:rsidRPr="00884D19">
        <w:rPr>
          <w:rFonts w:cs="Arial"/>
          <w:bCs/>
        </w:rPr>
        <w:t xml:space="preserve"> </w:t>
      </w:r>
      <w:r w:rsidR="00CC20B6" w:rsidRPr="00884D19">
        <w:rPr>
          <w:rFonts w:cs="Arial"/>
          <w:bCs/>
        </w:rPr>
        <w:t xml:space="preserve"> </w:t>
      </w:r>
      <w:r w:rsidR="000A4355" w:rsidRPr="00884D19">
        <w:rPr>
          <w:rFonts w:cs="Arial"/>
          <w:bCs/>
        </w:rPr>
        <w:t xml:space="preserve"> </w:t>
      </w:r>
    </w:p>
    <w:p w14:paraId="40FE06FB" w14:textId="6600605D" w:rsidR="00937870" w:rsidRDefault="00937870" w:rsidP="00B00241">
      <w:pPr>
        <w:pStyle w:val="BodyText"/>
        <w:spacing w:line="360" w:lineRule="auto"/>
        <w:jc w:val="both"/>
        <w:rPr>
          <w:rFonts w:cs="Arial"/>
          <w:b/>
          <w:bCs/>
        </w:rPr>
      </w:pPr>
      <w:r>
        <w:rPr>
          <w:rFonts w:cs="Arial"/>
          <w:b/>
          <w:bCs/>
        </w:rPr>
        <w:t>EVIDENCE</w:t>
      </w:r>
    </w:p>
    <w:p w14:paraId="344C1951" w14:textId="77777777" w:rsidR="00D87296" w:rsidRPr="00937870" w:rsidRDefault="00D87296" w:rsidP="00D87296">
      <w:pPr>
        <w:pStyle w:val="BodyText"/>
        <w:spacing w:line="360" w:lineRule="auto"/>
        <w:jc w:val="both"/>
        <w:rPr>
          <w:b/>
          <w:u w:val="single"/>
        </w:rPr>
      </w:pPr>
      <w:r w:rsidRPr="00937870">
        <w:rPr>
          <w:rFonts w:cs="Arial"/>
          <w:b/>
          <w:bCs/>
          <w:u w:val="single"/>
        </w:rPr>
        <w:t>Documentary evidence</w:t>
      </w:r>
    </w:p>
    <w:p w14:paraId="527356AA" w14:textId="3B74B1BC" w:rsidR="00D87296" w:rsidRPr="00703D80" w:rsidRDefault="00A33736" w:rsidP="007B477A">
      <w:pPr>
        <w:pStyle w:val="BodyText"/>
        <w:numPr>
          <w:ilvl w:val="0"/>
          <w:numId w:val="1"/>
        </w:numPr>
        <w:spacing w:line="360" w:lineRule="auto"/>
        <w:jc w:val="both"/>
        <w:rPr>
          <w:rFonts w:cs="Arial"/>
          <w:b/>
          <w:bCs/>
        </w:rPr>
      </w:pPr>
      <w:r>
        <w:rPr>
          <w:rFonts w:cs="Arial"/>
          <w:bCs/>
        </w:rPr>
        <w:t xml:space="preserve">Much of the evidence that was before of the inquiry took the form of documents. </w:t>
      </w:r>
      <w:r w:rsidR="00DC703F">
        <w:rPr>
          <w:rFonts w:cs="Arial"/>
          <w:bCs/>
        </w:rPr>
        <w:t>Rather than refer to the documents each witness produced I shall attempt to chronologically describe them here.</w:t>
      </w:r>
    </w:p>
    <w:p w14:paraId="79F521D8" w14:textId="1683EC5E" w:rsidR="00287168" w:rsidRDefault="009C5BEC" w:rsidP="007B477A">
      <w:pPr>
        <w:pStyle w:val="BodyText"/>
        <w:numPr>
          <w:ilvl w:val="0"/>
          <w:numId w:val="1"/>
        </w:numPr>
        <w:spacing w:line="360" w:lineRule="auto"/>
        <w:jc w:val="both"/>
        <w:rPr>
          <w:rFonts w:cs="Arial"/>
          <w:bCs/>
        </w:rPr>
      </w:pPr>
      <w:r>
        <w:rPr>
          <w:rFonts w:cs="Arial"/>
          <w:bCs/>
        </w:rPr>
        <w:lastRenderedPageBreak/>
        <w:t xml:space="preserve">On 24 July 1973 </w:t>
      </w:r>
      <w:r w:rsidR="0029549F">
        <w:rPr>
          <w:rFonts w:cs="Arial"/>
          <w:bCs/>
        </w:rPr>
        <w:t xml:space="preserve">there was a meeting of </w:t>
      </w:r>
      <w:r w:rsidR="004B29B6">
        <w:rPr>
          <w:rFonts w:cs="Arial"/>
          <w:bCs/>
        </w:rPr>
        <w:t xml:space="preserve">the Finance Committee </w:t>
      </w:r>
      <w:r w:rsidR="000C3B9C">
        <w:rPr>
          <w:rFonts w:cs="Arial"/>
          <w:bCs/>
        </w:rPr>
        <w:t>Sidmouth Urban Distric</w:t>
      </w:r>
      <w:r w:rsidR="00AB0D31">
        <w:rPr>
          <w:rFonts w:cs="Arial"/>
          <w:bCs/>
        </w:rPr>
        <w:t xml:space="preserve">t </w:t>
      </w:r>
      <w:r w:rsidR="00586F4B">
        <w:rPr>
          <w:rFonts w:cs="Arial"/>
          <w:bCs/>
        </w:rPr>
        <w:t>Council that</w:t>
      </w:r>
      <w:r w:rsidR="00AB0D31">
        <w:rPr>
          <w:rFonts w:cs="Arial"/>
          <w:bCs/>
        </w:rPr>
        <w:t xml:space="preserve"> </w:t>
      </w:r>
      <w:r w:rsidR="00E649F7">
        <w:rPr>
          <w:rFonts w:cs="Arial"/>
          <w:bCs/>
        </w:rPr>
        <w:t>was</w:t>
      </w:r>
      <w:r w:rsidR="00AB0D31">
        <w:rPr>
          <w:rFonts w:cs="Arial"/>
          <w:bCs/>
        </w:rPr>
        <w:t xml:space="preserve"> recorded in a minute.</w:t>
      </w:r>
      <w:r w:rsidR="007C2BA0">
        <w:rPr>
          <w:rStyle w:val="FootnoteReference"/>
          <w:rFonts w:cs="Arial"/>
          <w:bCs/>
        </w:rPr>
        <w:footnoteReference w:id="9"/>
      </w:r>
      <w:r w:rsidR="00BB451F">
        <w:rPr>
          <w:rFonts w:cs="Arial"/>
          <w:bCs/>
        </w:rPr>
        <w:t xml:space="preserve"> It is an important </w:t>
      </w:r>
      <w:r w:rsidR="009C6337">
        <w:rPr>
          <w:rFonts w:cs="Arial"/>
          <w:bCs/>
        </w:rPr>
        <w:t>document</w:t>
      </w:r>
      <w:r w:rsidR="007D47B4">
        <w:rPr>
          <w:rFonts w:cs="Arial"/>
          <w:bCs/>
        </w:rPr>
        <w:t xml:space="preserve"> and so is worth setting out in full: </w:t>
      </w:r>
    </w:p>
    <w:p w14:paraId="5419E556" w14:textId="3942F31C" w:rsidR="00446D08" w:rsidRPr="00446D08" w:rsidRDefault="004430D0" w:rsidP="004430D0">
      <w:pPr>
        <w:pStyle w:val="BodyText"/>
        <w:spacing w:line="360" w:lineRule="auto"/>
        <w:ind w:left="720"/>
        <w:jc w:val="both"/>
        <w:rPr>
          <w:rFonts w:cs="Arial"/>
          <w:bCs/>
          <w:i/>
          <w:u w:val="single"/>
        </w:rPr>
      </w:pPr>
      <w:r>
        <w:rPr>
          <w:rFonts w:cs="Arial"/>
          <w:bCs/>
          <w:i/>
          <w:u w:val="single"/>
        </w:rPr>
        <w:t>“</w:t>
      </w:r>
      <w:r w:rsidR="00446D08" w:rsidRPr="00446D08">
        <w:rPr>
          <w:rFonts w:cs="Arial"/>
          <w:bCs/>
          <w:i/>
          <w:u w:val="single"/>
        </w:rPr>
        <w:t>Adaptation of Knowle as Headquarters for the East Devon District Council</w:t>
      </w:r>
    </w:p>
    <w:p w14:paraId="2CDA8869" w14:textId="7AF6A79F" w:rsidR="00287168" w:rsidRDefault="00287168" w:rsidP="004430D0">
      <w:pPr>
        <w:pStyle w:val="BodyText"/>
        <w:spacing w:line="360" w:lineRule="auto"/>
        <w:ind w:left="720"/>
        <w:jc w:val="both"/>
        <w:rPr>
          <w:rFonts w:cs="Arial"/>
          <w:bCs/>
          <w:i/>
        </w:rPr>
      </w:pPr>
      <w:r w:rsidRPr="00DA46D4">
        <w:rPr>
          <w:rFonts w:cs="Arial"/>
          <w:bCs/>
          <w:i/>
        </w:rPr>
        <w:t>The Committee further considered the proposals in connection with the above which envisaged the adaptation of the present offices, the erection of two system-built buildings, one in the gardens and one on the rear car park, an access road to Knowle Drive and a car park in the northern part of the field.</w:t>
      </w:r>
      <w:r w:rsidR="001F4C21" w:rsidRPr="00DA46D4">
        <w:rPr>
          <w:rFonts w:cs="Arial"/>
          <w:bCs/>
          <w:i/>
        </w:rPr>
        <w:t xml:space="preserve"> </w:t>
      </w:r>
    </w:p>
    <w:p w14:paraId="150931D3" w14:textId="4241383C" w:rsidR="00F45328" w:rsidRDefault="008573FE" w:rsidP="004430D0">
      <w:pPr>
        <w:pStyle w:val="BodyText"/>
        <w:spacing w:line="360" w:lineRule="auto"/>
        <w:ind w:left="720"/>
        <w:jc w:val="both"/>
        <w:rPr>
          <w:rFonts w:cs="Arial"/>
          <w:bCs/>
          <w:i/>
        </w:rPr>
      </w:pPr>
      <w:r>
        <w:rPr>
          <w:rFonts w:cs="Arial"/>
          <w:bCs/>
          <w:i/>
        </w:rPr>
        <w:t>The proposed system-</w:t>
      </w:r>
      <w:r w:rsidR="00446D08">
        <w:rPr>
          <w:rFonts w:cs="Arial"/>
          <w:bCs/>
          <w:i/>
        </w:rPr>
        <w:t>built buildings are sited on land held under Part V of the Housing Act 1957 and it would seem that there ought to be an appropriation to Section 125 of the Local Government Act 1933</w:t>
      </w:r>
      <w:r w:rsidR="00F45328">
        <w:rPr>
          <w:rFonts w:cs="Arial"/>
          <w:bCs/>
          <w:i/>
        </w:rPr>
        <w:t>. A payment would be required from the General Rate Fund to the Housing Revenue Fund...</w:t>
      </w:r>
    </w:p>
    <w:p w14:paraId="6C7F0E37" w14:textId="78E3AD02" w:rsidR="00703D80" w:rsidRDefault="00F45328" w:rsidP="004430D0">
      <w:pPr>
        <w:pStyle w:val="BodyText"/>
        <w:spacing w:line="360" w:lineRule="auto"/>
        <w:ind w:left="720"/>
        <w:jc w:val="both"/>
        <w:rPr>
          <w:rFonts w:cs="Arial"/>
          <w:bCs/>
          <w:i/>
        </w:rPr>
      </w:pPr>
      <w:r w:rsidRPr="007D47B4">
        <w:rPr>
          <w:rFonts w:cs="Arial"/>
          <w:bCs/>
          <w:i/>
        </w:rPr>
        <w:t xml:space="preserve">The gardens and the field, through technically held for the purposes of the Local Government Act 1933, have since acquisition been treated </w:t>
      </w:r>
      <w:r w:rsidR="0098089F" w:rsidRPr="007D47B4">
        <w:rPr>
          <w:rFonts w:cs="Arial"/>
          <w:bCs/>
          <w:i/>
        </w:rPr>
        <w:t xml:space="preserve">as open spaces to which the public have access. It will moreover be recalled that a principal reason for the acquisition of Knowle was to preserve the gardens and the field as an amenity for the district. Members have suggested that this intention ought to be given legal effect. The best method would seems to be for the portion of the field not required in connection with the above adaptations to be appropriated for the purposes of Section 164 of the Public Health Act 1875 (which relates to the provision of public walks or pleasure grounds) by a simple resolution of the Council. And it would seem that no adjustment of accounts would be necessary as both properties were financed out of the General Rate Fund. </w:t>
      </w:r>
    </w:p>
    <w:p w14:paraId="706BB87F" w14:textId="519EACE7" w:rsidR="00C05B29" w:rsidRDefault="006F2241" w:rsidP="004430D0">
      <w:pPr>
        <w:pStyle w:val="BodyText"/>
        <w:spacing w:line="360" w:lineRule="auto"/>
        <w:ind w:left="720"/>
        <w:jc w:val="both"/>
        <w:rPr>
          <w:rFonts w:cs="Arial"/>
          <w:bCs/>
          <w:i/>
        </w:rPr>
      </w:pPr>
      <w:r w:rsidRPr="006F2241">
        <w:rPr>
          <w:rFonts w:cs="Arial"/>
          <w:bCs/>
          <w:i/>
          <w:u w:val="single"/>
        </w:rPr>
        <w:t>RECOMMEND</w:t>
      </w:r>
      <w:r>
        <w:rPr>
          <w:rFonts w:cs="Arial"/>
          <w:bCs/>
          <w:i/>
        </w:rPr>
        <w:t xml:space="preserve"> that:</w:t>
      </w:r>
    </w:p>
    <w:p w14:paraId="5171301E" w14:textId="6A46B95B" w:rsidR="007D47B4" w:rsidRPr="00857C4B" w:rsidRDefault="006F2241" w:rsidP="004430D0">
      <w:pPr>
        <w:pStyle w:val="BodyText"/>
        <w:spacing w:line="360" w:lineRule="auto"/>
        <w:ind w:left="720"/>
        <w:jc w:val="both"/>
        <w:rPr>
          <w:rFonts w:cs="Arial"/>
          <w:bCs/>
          <w:i/>
        </w:rPr>
      </w:pPr>
      <w:r w:rsidRPr="00857C4B">
        <w:rPr>
          <w:rFonts w:cs="Arial"/>
          <w:bCs/>
          <w:i/>
        </w:rPr>
        <w:t xml:space="preserve">(1) Under the powers contained in Section 163 of the Local Government Act 1933, 1933 as amended by Section 23 of the Town and Country Planning Act 1959, the land coloured green and green hatched black on the plan (which will be available for examination at the meeting of the Council), being land not required for the purposes for which it was acquired or has since been appropriated, be appropriated as a public </w:t>
      </w:r>
      <w:r w:rsidRPr="00857C4B">
        <w:rPr>
          <w:rFonts w:cs="Arial"/>
          <w:bCs/>
          <w:i/>
        </w:rPr>
        <w:lastRenderedPageBreak/>
        <w:t>open space for the purposes of Section 164 of the Public Health Act 1875 and that insofar as a small part of this land (</w:t>
      </w:r>
      <w:r w:rsidR="00CD353C" w:rsidRPr="00857C4B">
        <w:rPr>
          <w:rFonts w:cs="Arial"/>
          <w:bCs/>
          <w:i/>
        </w:rPr>
        <w:t>i.e.</w:t>
      </w:r>
      <w:r w:rsidRPr="00857C4B">
        <w:rPr>
          <w:rFonts w:cs="Arial"/>
          <w:bCs/>
          <w:i/>
        </w:rPr>
        <w:t xml:space="preserve"> the land coloured green hatched</w:t>
      </w:r>
      <w:r w:rsidR="00CD353C" w:rsidRPr="00857C4B">
        <w:rPr>
          <w:rFonts w:cs="Arial"/>
          <w:bCs/>
          <w:i/>
        </w:rPr>
        <w:t xml:space="preserve"> </w:t>
      </w:r>
      <w:r w:rsidR="00330024" w:rsidRPr="00857C4B">
        <w:rPr>
          <w:rFonts w:cs="Arial"/>
          <w:bCs/>
          <w:i/>
        </w:rPr>
        <w:t>black on the said plan) is at present held under Part V of the Housing Act, 1957 such adjustment of the Accounts of the Council be made as the Secretary of State for the Environment may direct;</w:t>
      </w:r>
      <w:r w:rsidR="004430D0">
        <w:rPr>
          <w:rFonts w:cs="Arial"/>
          <w:bCs/>
          <w:i/>
        </w:rPr>
        <w:t>”</w:t>
      </w:r>
    </w:p>
    <w:p w14:paraId="1B51910C" w14:textId="315E7DBF" w:rsidR="0020660F" w:rsidRPr="00E35B61" w:rsidRDefault="00334184" w:rsidP="007B477A">
      <w:pPr>
        <w:pStyle w:val="BodyText"/>
        <w:numPr>
          <w:ilvl w:val="0"/>
          <w:numId w:val="1"/>
        </w:numPr>
        <w:spacing w:line="360" w:lineRule="auto"/>
        <w:jc w:val="both"/>
        <w:rPr>
          <w:rFonts w:cs="Arial"/>
          <w:b/>
          <w:bCs/>
        </w:rPr>
      </w:pPr>
      <w:r>
        <w:rPr>
          <w:rFonts w:cs="Arial"/>
          <w:bCs/>
        </w:rPr>
        <w:t xml:space="preserve">A copy of the plan referred to </w:t>
      </w:r>
      <w:r w:rsidR="00C21FFC">
        <w:rPr>
          <w:rFonts w:cs="Arial"/>
          <w:bCs/>
        </w:rPr>
        <w:t>in this 1973 minute has survived and is produced by the Objector.</w:t>
      </w:r>
      <w:r w:rsidR="00093E3B">
        <w:rPr>
          <w:rStyle w:val="FootnoteReference"/>
          <w:rFonts w:cs="Arial"/>
          <w:bCs/>
        </w:rPr>
        <w:footnoteReference w:id="10"/>
      </w:r>
      <w:r w:rsidR="00C21FFC">
        <w:rPr>
          <w:rFonts w:cs="Arial"/>
          <w:bCs/>
        </w:rPr>
        <w:t xml:space="preserve"> </w:t>
      </w:r>
      <w:r w:rsidR="003C7323">
        <w:rPr>
          <w:rFonts w:cs="Arial"/>
          <w:bCs/>
        </w:rPr>
        <w:t xml:space="preserve">The key to the plan refers to “proposed appropriation” but as is pointed out by </w:t>
      </w:r>
      <w:r w:rsidR="00610B2B">
        <w:rPr>
          <w:rFonts w:cs="Arial"/>
          <w:bCs/>
        </w:rPr>
        <w:t>Mr Gordon Lennox in his evidence</w:t>
      </w:r>
      <w:r w:rsidR="00AE1330">
        <w:rPr>
          <w:rFonts w:cs="Arial"/>
          <w:bCs/>
        </w:rPr>
        <w:t xml:space="preserve"> (see below)</w:t>
      </w:r>
      <w:r w:rsidR="00610B2B">
        <w:rPr>
          <w:rFonts w:cs="Arial"/>
          <w:bCs/>
        </w:rPr>
        <w:t xml:space="preserve">, it would have been logical to prepare the plan prior to any meeting considering the appropriation. </w:t>
      </w:r>
      <w:r w:rsidR="00462971">
        <w:rPr>
          <w:rFonts w:cs="Arial"/>
          <w:bCs/>
        </w:rPr>
        <w:t xml:space="preserve">This plan </w:t>
      </w:r>
      <w:r w:rsidR="0065597A">
        <w:rPr>
          <w:rFonts w:cs="Arial"/>
          <w:bCs/>
        </w:rPr>
        <w:t xml:space="preserve">clearly </w:t>
      </w:r>
      <w:r w:rsidR="008F6B37">
        <w:rPr>
          <w:rFonts w:cs="Arial"/>
          <w:bCs/>
        </w:rPr>
        <w:t>shows</w:t>
      </w:r>
      <w:r w:rsidR="007873FD">
        <w:rPr>
          <w:rFonts w:cs="Arial"/>
          <w:bCs/>
        </w:rPr>
        <w:t xml:space="preserve"> in my view</w:t>
      </w:r>
      <w:r w:rsidR="008F6B37">
        <w:rPr>
          <w:rFonts w:cs="Arial"/>
          <w:bCs/>
        </w:rPr>
        <w:t xml:space="preserve"> that the overwhelming </w:t>
      </w:r>
      <w:r w:rsidR="00745F98">
        <w:rPr>
          <w:rFonts w:cs="Arial"/>
          <w:bCs/>
        </w:rPr>
        <w:t>majority</w:t>
      </w:r>
      <w:r w:rsidR="00300A43">
        <w:rPr>
          <w:rFonts w:cs="Arial"/>
          <w:bCs/>
        </w:rPr>
        <w:t xml:space="preserve"> of the Knowle was </w:t>
      </w:r>
      <w:r w:rsidR="004723C1">
        <w:rPr>
          <w:rFonts w:cs="Arial"/>
          <w:bCs/>
        </w:rPr>
        <w:t xml:space="preserve">expressly </w:t>
      </w:r>
      <w:r w:rsidR="00300A43">
        <w:rPr>
          <w:rFonts w:cs="Arial"/>
          <w:bCs/>
        </w:rPr>
        <w:t>appropriated, as per the decision outlined in the minute, to the purposes</w:t>
      </w:r>
      <w:r w:rsidR="008F6B37">
        <w:rPr>
          <w:rFonts w:cs="Arial"/>
          <w:bCs/>
        </w:rPr>
        <w:t xml:space="preserve"> </w:t>
      </w:r>
      <w:r w:rsidR="00F93A5D">
        <w:rPr>
          <w:rFonts w:cs="Arial"/>
          <w:bCs/>
        </w:rPr>
        <w:t xml:space="preserve">of the Public Health Act 1875 (as </w:t>
      </w:r>
      <w:r w:rsidR="00F93A5D">
        <w:rPr>
          <w:rFonts w:cs="Arial"/>
          <w:bCs/>
          <w:i/>
        </w:rPr>
        <w:t xml:space="preserve">per </w:t>
      </w:r>
      <w:r w:rsidR="00F93A5D">
        <w:rPr>
          <w:rFonts w:cs="Arial"/>
          <w:bCs/>
        </w:rPr>
        <w:t xml:space="preserve">my preliminary advice). </w:t>
      </w:r>
      <w:r w:rsidR="00C56FFD" w:rsidRPr="00AA3E72">
        <w:rPr>
          <w:rFonts w:cs="Arial"/>
          <w:bCs/>
        </w:rPr>
        <w:t>There is a handwritten reference “</w:t>
      </w:r>
      <w:r w:rsidR="00C56FFD" w:rsidRPr="00AA3E72">
        <w:rPr>
          <w:rFonts w:cs="Arial"/>
          <w:bCs/>
          <w:i/>
        </w:rPr>
        <w:t xml:space="preserve">R.27.7.73” </w:t>
      </w:r>
      <w:r w:rsidR="00C56FFD" w:rsidRPr="00AA3E72">
        <w:rPr>
          <w:rFonts w:cs="Arial"/>
          <w:bCs/>
        </w:rPr>
        <w:t>on another copy of the minutes of 24 July 197</w:t>
      </w:r>
      <w:r w:rsidR="00D07346">
        <w:rPr>
          <w:rFonts w:cs="Arial"/>
          <w:bCs/>
        </w:rPr>
        <w:t>3.</w:t>
      </w:r>
      <w:r w:rsidR="00C56FFD" w:rsidRPr="00AA3E72">
        <w:rPr>
          <w:rStyle w:val="FootnoteReference"/>
          <w:rFonts w:cs="Arial"/>
          <w:bCs/>
        </w:rPr>
        <w:footnoteReference w:id="11"/>
      </w:r>
      <w:r w:rsidR="00AA3E72">
        <w:rPr>
          <w:rFonts w:cs="Arial"/>
          <w:bCs/>
        </w:rPr>
        <w:t xml:space="preserve"> </w:t>
      </w:r>
      <w:r w:rsidR="00704E7B" w:rsidRPr="00AA3E72">
        <w:rPr>
          <w:rFonts w:cs="Arial"/>
          <w:bCs/>
        </w:rPr>
        <w:t>Below</w:t>
      </w:r>
      <w:r w:rsidR="00704E7B">
        <w:rPr>
          <w:rFonts w:cs="Arial"/>
          <w:bCs/>
        </w:rPr>
        <w:t xml:space="preserve"> the key </w:t>
      </w:r>
      <w:r w:rsidR="00EF7B3A">
        <w:rPr>
          <w:rFonts w:cs="Arial"/>
          <w:bCs/>
        </w:rPr>
        <w:t>on</w:t>
      </w:r>
      <w:r w:rsidR="00704E7B">
        <w:rPr>
          <w:rFonts w:cs="Arial"/>
          <w:bCs/>
        </w:rPr>
        <w:t xml:space="preserve"> the plan it has been handwritten “</w:t>
      </w:r>
      <w:r w:rsidR="00704E7B" w:rsidRPr="00704E7B">
        <w:rPr>
          <w:rFonts w:cs="Arial"/>
          <w:bCs/>
          <w:i/>
        </w:rPr>
        <w:t>appropriated by resolution of the Council 27.7.73.”</w:t>
      </w:r>
      <w:r w:rsidR="006D2C21">
        <w:rPr>
          <w:rFonts w:cs="Arial"/>
          <w:bCs/>
        </w:rPr>
        <w:t xml:space="preserve"> </w:t>
      </w:r>
      <w:r w:rsidR="00704E7B">
        <w:rPr>
          <w:rFonts w:cs="Arial"/>
          <w:bCs/>
        </w:rPr>
        <w:t xml:space="preserve">It appears to me that this </w:t>
      </w:r>
      <w:r w:rsidR="00030472">
        <w:rPr>
          <w:rFonts w:cs="Arial"/>
          <w:bCs/>
        </w:rPr>
        <w:t xml:space="preserve">is </w:t>
      </w:r>
      <w:r w:rsidR="00E658FD">
        <w:rPr>
          <w:rFonts w:cs="Arial"/>
          <w:bCs/>
        </w:rPr>
        <w:t>either</w:t>
      </w:r>
      <w:r w:rsidR="00704E7B">
        <w:rPr>
          <w:rFonts w:cs="Arial"/>
          <w:bCs/>
        </w:rPr>
        <w:t xml:space="preserve"> simply a mistake, as the meeting had of</w:t>
      </w:r>
      <w:r w:rsidR="00E658FD">
        <w:rPr>
          <w:rFonts w:cs="Arial"/>
          <w:bCs/>
        </w:rPr>
        <w:t xml:space="preserve"> course taken place on 24 July 1973, or that there was another meeting but this minute </w:t>
      </w:r>
      <w:r w:rsidR="00030472">
        <w:rPr>
          <w:rFonts w:cs="Arial"/>
          <w:bCs/>
        </w:rPr>
        <w:t>h</w:t>
      </w:r>
      <w:r w:rsidR="00E658FD">
        <w:rPr>
          <w:rFonts w:cs="Arial"/>
          <w:bCs/>
        </w:rPr>
        <w:t>as been lost. On either account, I am satisfied that the plan is the correct plan because it was produced at about this time, the handwritten reference matches the minute</w:t>
      </w:r>
      <w:r w:rsidR="00B7315F">
        <w:rPr>
          <w:rFonts w:cs="Arial"/>
          <w:bCs/>
        </w:rPr>
        <w:t xml:space="preserve"> and </w:t>
      </w:r>
      <w:r w:rsidR="00A4536A">
        <w:rPr>
          <w:rFonts w:cs="Arial"/>
          <w:bCs/>
        </w:rPr>
        <w:t xml:space="preserve">the </w:t>
      </w:r>
      <w:r w:rsidR="0071291A">
        <w:rPr>
          <w:rFonts w:cs="Arial"/>
          <w:bCs/>
        </w:rPr>
        <w:t xml:space="preserve">hatching and colouring is as described in the relevant minute. </w:t>
      </w:r>
    </w:p>
    <w:p w14:paraId="74E7CB41" w14:textId="285C6EED" w:rsidR="00E35B61" w:rsidRPr="00E72F24" w:rsidRDefault="00D377FB" w:rsidP="007B477A">
      <w:pPr>
        <w:pStyle w:val="BodyText"/>
        <w:numPr>
          <w:ilvl w:val="0"/>
          <w:numId w:val="1"/>
        </w:numPr>
        <w:spacing w:line="360" w:lineRule="auto"/>
        <w:jc w:val="both"/>
        <w:rPr>
          <w:rFonts w:cs="Arial"/>
          <w:b/>
          <w:bCs/>
        </w:rPr>
      </w:pPr>
      <w:r w:rsidRPr="00E72F24">
        <w:rPr>
          <w:rFonts w:cs="Arial"/>
          <w:bCs/>
        </w:rPr>
        <w:t xml:space="preserve">The </w:t>
      </w:r>
      <w:r w:rsidR="00680A6E" w:rsidRPr="00E72F24">
        <w:rPr>
          <w:rFonts w:cs="Arial"/>
          <w:bCs/>
        </w:rPr>
        <w:t xml:space="preserve">plan does not show that </w:t>
      </w:r>
      <w:r w:rsidR="00D00B6E" w:rsidRPr="00E72F24">
        <w:rPr>
          <w:rFonts w:cs="Arial"/>
          <w:bCs/>
        </w:rPr>
        <w:t>there was a proposal to appropriate all of the land at Knowle.</w:t>
      </w:r>
      <w:r w:rsidR="00680A6E" w:rsidRPr="00E72F24">
        <w:rPr>
          <w:rFonts w:cs="Arial"/>
          <w:bCs/>
        </w:rPr>
        <w:t xml:space="preserve"> </w:t>
      </w:r>
      <w:r w:rsidR="00E72F24">
        <w:rPr>
          <w:rFonts w:cs="Arial"/>
          <w:bCs/>
        </w:rPr>
        <w:t xml:space="preserve">There was, as it were, a border left out </w:t>
      </w:r>
      <w:r w:rsidR="004015BD">
        <w:rPr>
          <w:rFonts w:cs="Arial"/>
          <w:bCs/>
        </w:rPr>
        <w:t>around the building to the immediate south</w:t>
      </w:r>
      <w:r w:rsidR="00054477">
        <w:rPr>
          <w:rFonts w:cs="Arial"/>
          <w:bCs/>
        </w:rPr>
        <w:t xml:space="preserve"> (</w:t>
      </w:r>
      <w:r w:rsidR="001F5168">
        <w:rPr>
          <w:rFonts w:cs="Arial"/>
          <w:bCs/>
        </w:rPr>
        <w:t>raised lawn area)</w:t>
      </w:r>
      <w:r w:rsidR="00DD7A5B">
        <w:rPr>
          <w:rFonts w:cs="Arial"/>
          <w:bCs/>
        </w:rPr>
        <w:t xml:space="preserve">, </w:t>
      </w:r>
      <w:r w:rsidR="004015BD">
        <w:rPr>
          <w:rFonts w:cs="Arial"/>
          <w:bCs/>
        </w:rPr>
        <w:t>east</w:t>
      </w:r>
      <w:r w:rsidR="002B1ACD">
        <w:rPr>
          <w:rFonts w:cs="Arial"/>
          <w:bCs/>
        </w:rPr>
        <w:t xml:space="preserve"> (car park)</w:t>
      </w:r>
      <w:r w:rsidR="00DD7A5B">
        <w:rPr>
          <w:rFonts w:cs="Arial"/>
          <w:bCs/>
        </w:rPr>
        <w:t xml:space="preserve"> and west</w:t>
      </w:r>
      <w:r w:rsidR="004015BD">
        <w:rPr>
          <w:rFonts w:cs="Arial"/>
          <w:bCs/>
        </w:rPr>
        <w:t xml:space="preserve"> of the office buildings.</w:t>
      </w:r>
      <w:r w:rsidR="00BC78D9">
        <w:rPr>
          <w:rFonts w:cs="Arial"/>
          <w:bCs/>
        </w:rPr>
        <w:t xml:space="preserve"> A further area of some size was left out, the majority of which today is t</w:t>
      </w:r>
      <w:r w:rsidR="00030472">
        <w:rPr>
          <w:rFonts w:cs="Arial"/>
          <w:bCs/>
        </w:rPr>
        <w:t>he</w:t>
      </w:r>
      <w:r w:rsidR="00BC78D9">
        <w:rPr>
          <w:rFonts w:cs="Arial"/>
          <w:bCs/>
        </w:rPr>
        <w:t xml:space="preserve"> works yard.</w:t>
      </w:r>
      <w:r w:rsidR="00693F5C">
        <w:rPr>
          <w:rFonts w:cs="Arial"/>
          <w:bCs/>
        </w:rPr>
        <w:t xml:space="preserve"> </w:t>
      </w:r>
      <w:r w:rsidR="0001437D">
        <w:rPr>
          <w:rFonts w:cs="Arial"/>
          <w:bCs/>
        </w:rPr>
        <w:t>The road and incident</w:t>
      </w:r>
      <w:r w:rsidR="00EE2731">
        <w:rPr>
          <w:rFonts w:cs="Arial"/>
          <w:bCs/>
        </w:rPr>
        <w:t xml:space="preserve">al </w:t>
      </w:r>
      <w:r w:rsidR="001354F2">
        <w:rPr>
          <w:rFonts w:cs="Arial"/>
          <w:bCs/>
        </w:rPr>
        <w:t>verges that lead</w:t>
      </w:r>
      <w:r w:rsidR="00293515">
        <w:rPr>
          <w:rFonts w:cs="Arial"/>
          <w:bCs/>
        </w:rPr>
        <w:t xml:space="preserve"> to Station Road were</w:t>
      </w:r>
      <w:r w:rsidR="0041104C">
        <w:rPr>
          <w:rFonts w:cs="Arial"/>
          <w:bCs/>
        </w:rPr>
        <w:t xml:space="preserve"> left out.</w:t>
      </w:r>
      <w:r w:rsidR="00097152">
        <w:rPr>
          <w:rFonts w:cs="Arial"/>
          <w:bCs/>
        </w:rPr>
        <w:t xml:space="preserve"> The area that forms the large northern car park was </w:t>
      </w:r>
      <w:r w:rsidR="00C57A15">
        <w:rPr>
          <w:rFonts w:cs="Arial"/>
          <w:bCs/>
        </w:rPr>
        <w:t xml:space="preserve">also </w:t>
      </w:r>
      <w:r w:rsidR="00097152">
        <w:rPr>
          <w:rFonts w:cs="Arial"/>
          <w:bCs/>
        </w:rPr>
        <w:t xml:space="preserve">left out. </w:t>
      </w:r>
      <w:r w:rsidR="0041104C">
        <w:rPr>
          <w:rFonts w:cs="Arial"/>
          <w:bCs/>
        </w:rPr>
        <w:t xml:space="preserve"> </w:t>
      </w:r>
      <w:r w:rsidR="00A97C44">
        <w:rPr>
          <w:rFonts w:cs="Arial"/>
          <w:bCs/>
        </w:rPr>
        <w:t xml:space="preserve"> </w:t>
      </w:r>
    </w:p>
    <w:p w14:paraId="2300C5E4" w14:textId="59A6BEE5" w:rsidR="002E0372" w:rsidRPr="002E0372" w:rsidRDefault="002E0372" w:rsidP="007B477A">
      <w:pPr>
        <w:pStyle w:val="BodyText"/>
        <w:numPr>
          <w:ilvl w:val="0"/>
          <w:numId w:val="1"/>
        </w:numPr>
        <w:spacing w:line="360" w:lineRule="auto"/>
        <w:jc w:val="both"/>
        <w:rPr>
          <w:rFonts w:cs="Arial"/>
          <w:b/>
          <w:bCs/>
        </w:rPr>
      </w:pPr>
      <w:r w:rsidRPr="002E0372">
        <w:rPr>
          <w:rFonts w:cs="Arial"/>
          <w:bCs/>
        </w:rPr>
        <w:t>I was also referred to a newspaper article dated 28/07/1973 entitled “Council Move To Safeguard Knowle Grounds</w:t>
      </w:r>
      <w:r w:rsidR="00425A65">
        <w:rPr>
          <w:rFonts w:cs="Arial"/>
          <w:bCs/>
        </w:rPr>
        <w:t>.</w:t>
      </w:r>
      <w:r w:rsidRPr="002E0372">
        <w:rPr>
          <w:rFonts w:cs="Arial"/>
          <w:bCs/>
        </w:rPr>
        <w:t>”</w:t>
      </w:r>
      <w:r w:rsidR="00425A65">
        <w:rPr>
          <w:rFonts w:cs="Arial"/>
          <w:bCs/>
        </w:rPr>
        <w:t xml:space="preserve"> </w:t>
      </w:r>
      <w:r w:rsidRPr="002E0372">
        <w:rPr>
          <w:rFonts w:cs="Arial"/>
          <w:bCs/>
        </w:rPr>
        <w:t xml:space="preserve">It </w:t>
      </w:r>
      <w:r w:rsidR="008D4039" w:rsidRPr="002E0372">
        <w:rPr>
          <w:rFonts w:cs="Arial"/>
          <w:bCs/>
        </w:rPr>
        <w:t>states</w:t>
      </w:r>
      <w:r w:rsidR="008D4039">
        <w:rPr>
          <w:rFonts w:cs="Arial"/>
          <w:bCs/>
        </w:rPr>
        <w:t>:</w:t>
      </w:r>
      <w:r w:rsidRPr="002E0372">
        <w:rPr>
          <w:rFonts w:cs="Arial"/>
          <w:bCs/>
        </w:rPr>
        <w:t xml:space="preserve"> “</w:t>
      </w:r>
      <w:r w:rsidRPr="00AD3714">
        <w:rPr>
          <w:rFonts w:cs="Arial"/>
          <w:bCs/>
          <w:i/>
        </w:rPr>
        <w:t>All the grounds around Sidmouth Council Offices at Knowle should be dedicated for ever as a public open space, the U.D.C’s Finance Committee decided last week.”</w:t>
      </w:r>
      <w:r w:rsidRPr="002E0372">
        <w:rPr>
          <w:rFonts w:cs="Arial"/>
          <w:bCs/>
        </w:rPr>
        <w:t xml:space="preserve"> </w:t>
      </w:r>
    </w:p>
    <w:p w14:paraId="1D8299ED" w14:textId="6470D56D" w:rsidR="005753DD" w:rsidRPr="00F93792" w:rsidRDefault="005753DD" w:rsidP="007B477A">
      <w:pPr>
        <w:pStyle w:val="BodyText"/>
        <w:numPr>
          <w:ilvl w:val="0"/>
          <w:numId w:val="1"/>
        </w:numPr>
        <w:spacing w:line="360" w:lineRule="auto"/>
        <w:jc w:val="both"/>
        <w:rPr>
          <w:rFonts w:cs="Arial"/>
          <w:b/>
          <w:bCs/>
        </w:rPr>
      </w:pPr>
      <w:r>
        <w:rPr>
          <w:rFonts w:cs="Arial"/>
          <w:bCs/>
        </w:rPr>
        <w:lastRenderedPageBreak/>
        <w:t>In 1980 and 1983 there are copies of proposed byelaws that were sent to the Home Office.</w:t>
      </w:r>
      <w:r w:rsidR="003D0BCE">
        <w:rPr>
          <w:rStyle w:val="FootnoteReference"/>
          <w:rFonts w:cs="Arial"/>
          <w:bCs/>
        </w:rPr>
        <w:footnoteReference w:id="12"/>
      </w:r>
      <w:r w:rsidR="006E384E">
        <w:rPr>
          <w:rFonts w:cs="Arial"/>
          <w:bCs/>
        </w:rPr>
        <w:t xml:space="preserve"> </w:t>
      </w:r>
      <w:r w:rsidR="00B449A0">
        <w:rPr>
          <w:rFonts w:cs="Arial"/>
          <w:bCs/>
        </w:rPr>
        <w:t xml:space="preserve">On 7 December 1983 it was recorded in the </w:t>
      </w:r>
      <w:r w:rsidR="00F64801">
        <w:rPr>
          <w:rFonts w:cs="Arial"/>
          <w:bCs/>
        </w:rPr>
        <w:t>minutes of the Objector’</w:t>
      </w:r>
      <w:r w:rsidR="00D66FD0">
        <w:rPr>
          <w:rFonts w:cs="Arial"/>
          <w:bCs/>
        </w:rPr>
        <w:t xml:space="preserve">s </w:t>
      </w:r>
      <w:r w:rsidR="006D7849">
        <w:rPr>
          <w:rFonts w:cs="Arial"/>
          <w:bCs/>
        </w:rPr>
        <w:t xml:space="preserve">Policy Committee that there had been detailed correspondence with the Home Office in relation to the introduction of new byelaws in respect of, </w:t>
      </w:r>
      <w:r w:rsidR="006D7849">
        <w:rPr>
          <w:rFonts w:cs="Arial"/>
          <w:bCs/>
          <w:i/>
        </w:rPr>
        <w:t>inter alia</w:t>
      </w:r>
      <w:r w:rsidR="006D7849">
        <w:rPr>
          <w:rFonts w:cs="Arial"/>
          <w:bCs/>
        </w:rPr>
        <w:t xml:space="preserve">, </w:t>
      </w:r>
      <w:r w:rsidR="00E55397">
        <w:rPr>
          <w:rFonts w:cs="Arial"/>
          <w:bCs/>
        </w:rPr>
        <w:t xml:space="preserve">pleasure grounds. </w:t>
      </w:r>
      <w:r w:rsidR="008122A8">
        <w:rPr>
          <w:rFonts w:cs="Arial"/>
          <w:bCs/>
        </w:rPr>
        <w:t>Of note in this minute is that it was stated that, “</w:t>
      </w:r>
      <w:r w:rsidR="008122A8">
        <w:rPr>
          <w:rFonts w:cs="Arial"/>
          <w:bCs/>
          <w:i/>
        </w:rPr>
        <w:t xml:space="preserve">with particular reference to the extended list of pleasure grounds recommended by the Committee” </w:t>
      </w:r>
      <w:r w:rsidR="008122A8">
        <w:rPr>
          <w:rFonts w:cs="Arial"/>
          <w:bCs/>
        </w:rPr>
        <w:t>that “</w:t>
      </w:r>
      <w:r w:rsidR="008122A8">
        <w:rPr>
          <w:rFonts w:cs="Arial"/>
          <w:bCs/>
          <w:i/>
        </w:rPr>
        <w:t xml:space="preserve">Although it makes no practical difference to control, it has been necessary to investigate title to all the pleasure grounds to </w:t>
      </w:r>
      <w:r w:rsidR="00CE51DB">
        <w:rPr>
          <w:rFonts w:cs="Arial"/>
          <w:bCs/>
          <w:i/>
        </w:rPr>
        <w:t xml:space="preserve">identify </w:t>
      </w:r>
      <w:r w:rsidR="00EB2199">
        <w:rPr>
          <w:rFonts w:cs="Arial"/>
          <w:bCs/>
          <w:i/>
        </w:rPr>
        <w:t xml:space="preserve">whether Public Health Act or Open Spaces Act powers apply </w:t>
      </w:r>
      <w:r w:rsidR="009F0F41">
        <w:rPr>
          <w:rFonts w:cs="Arial"/>
          <w:bCs/>
          <w:i/>
        </w:rPr>
        <w:t xml:space="preserve">to each </w:t>
      </w:r>
      <w:r w:rsidR="000D5BAE">
        <w:rPr>
          <w:rFonts w:cs="Arial"/>
          <w:bCs/>
          <w:i/>
        </w:rPr>
        <w:t>individual ground</w:t>
      </w:r>
      <w:r w:rsidR="0030437E">
        <w:rPr>
          <w:rFonts w:cs="Arial"/>
          <w:bCs/>
          <w:i/>
        </w:rPr>
        <w:t>…”</w:t>
      </w:r>
      <w:r w:rsidR="00844EB3">
        <w:rPr>
          <w:rFonts w:cs="Arial"/>
          <w:bCs/>
          <w:i/>
        </w:rPr>
        <w:t xml:space="preserve"> </w:t>
      </w:r>
      <w:r w:rsidR="00844EB3">
        <w:rPr>
          <w:rFonts w:cs="Arial"/>
          <w:bCs/>
        </w:rPr>
        <w:t xml:space="preserve">The committee resolved to submit a set of </w:t>
      </w:r>
      <w:r w:rsidR="001231DB">
        <w:rPr>
          <w:rFonts w:cs="Arial"/>
          <w:bCs/>
        </w:rPr>
        <w:t>“</w:t>
      </w:r>
      <w:r w:rsidR="00844EB3" w:rsidRPr="004535E3">
        <w:rPr>
          <w:rFonts w:cs="Arial"/>
          <w:bCs/>
          <w:i/>
        </w:rPr>
        <w:t>Byelaws as to Pleasure Grounds to the Home</w:t>
      </w:r>
      <w:r w:rsidR="00D273A8" w:rsidRPr="004535E3">
        <w:rPr>
          <w:rFonts w:cs="Arial"/>
          <w:bCs/>
          <w:i/>
        </w:rPr>
        <w:t xml:space="preserve"> Office</w:t>
      </w:r>
      <w:r w:rsidR="004A474D">
        <w:rPr>
          <w:rFonts w:cs="Arial"/>
          <w:bCs/>
        </w:rPr>
        <w:t>”</w:t>
      </w:r>
      <w:r w:rsidR="00D273A8">
        <w:rPr>
          <w:rFonts w:cs="Arial"/>
          <w:bCs/>
        </w:rPr>
        <w:t xml:space="preserve"> for confirmation. </w:t>
      </w:r>
      <w:r w:rsidR="0037788A">
        <w:rPr>
          <w:rFonts w:cs="Arial"/>
          <w:bCs/>
        </w:rPr>
        <w:t>I was shown a copy of the proposed byelaws and “Knowle, Sidmouth” is listed under Schedule 1, which is recorded as meaning that the byelaws were made under section 164 of the Public Health Act 1875.</w:t>
      </w:r>
      <w:r w:rsidR="00813F3E">
        <w:rPr>
          <w:rStyle w:val="FootnoteReference"/>
          <w:rFonts w:cs="Arial"/>
          <w:bCs/>
        </w:rPr>
        <w:footnoteReference w:id="13"/>
      </w:r>
      <w:r w:rsidR="0037788A">
        <w:rPr>
          <w:rFonts w:cs="Arial"/>
          <w:bCs/>
        </w:rPr>
        <w:t xml:space="preserve"> </w:t>
      </w:r>
    </w:p>
    <w:p w14:paraId="0F51F006" w14:textId="5755F963" w:rsidR="00F93792" w:rsidRPr="00160966" w:rsidRDefault="00552EF6" w:rsidP="007B477A">
      <w:pPr>
        <w:pStyle w:val="BodyText"/>
        <w:numPr>
          <w:ilvl w:val="0"/>
          <w:numId w:val="1"/>
        </w:numPr>
        <w:spacing w:line="360" w:lineRule="auto"/>
        <w:jc w:val="both"/>
        <w:rPr>
          <w:rFonts w:cs="Arial"/>
          <w:b/>
          <w:bCs/>
        </w:rPr>
      </w:pPr>
      <w:r>
        <w:rPr>
          <w:rFonts w:cs="Arial"/>
          <w:bCs/>
        </w:rPr>
        <w:t>On 15 February 1984 the minutes of the P</w:t>
      </w:r>
      <w:r w:rsidR="00D70DA5">
        <w:rPr>
          <w:rFonts w:cs="Arial"/>
          <w:bCs/>
        </w:rPr>
        <w:t xml:space="preserve">olicy </w:t>
      </w:r>
      <w:r w:rsidR="000A3365">
        <w:rPr>
          <w:rFonts w:cs="Arial"/>
          <w:bCs/>
        </w:rPr>
        <w:t xml:space="preserve">Committee </w:t>
      </w:r>
      <w:r w:rsidR="000717D5">
        <w:rPr>
          <w:rFonts w:cs="Arial"/>
          <w:bCs/>
        </w:rPr>
        <w:t xml:space="preserve">of the Objector noted that the Home Office had accepted </w:t>
      </w:r>
      <w:r w:rsidR="00F6779E">
        <w:rPr>
          <w:rFonts w:cs="Arial"/>
          <w:bCs/>
        </w:rPr>
        <w:t>the pleasure ground byelaws subject to some alterations in respect of “</w:t>
      </w:r>
      <w:r w:rsidR="00F6779E">
        <w:rPr>
          <w:rFonts w:cs="Arial"/>
          <w:bCs/>
          <w:i/>
        </w:rPr>
        <w:t>invalid carriages.”</w:t>
      </w:r>
      <w:r w:rsidR="005668C0" w:rsidRPr="00516383">
        <w:rPr>
          <w:rStyle w:val="FootnoteReference"/>
          <w:rFonts w:cs="Arial"/>
          <w:bCs/>
        </w:rPr>
        <w:footnoteReference w:id="14"/>
      </w:r>
      <w:r w:rsidR="00F6779E">
        <w:rPr>
          <w:rFonts w:cs="Arial"/>
          <w:bCs/>
        </w:rPr>
        <w:t xml:space="preserve"> </w:t>
      </w:r>
    </w:p>
    <w:p w14:paraId="4D216853" w14:textId="42267571" w:rsidR="00160966" w:rsidRPr="00D9556C" w:rsidRDefault="00160966" w:rsidP="007B477A">
      <w:pPr>
        <w:pStyle w:val="BodyText"/>
        <w:numPr>
          <w:ilvl w:val="0"/>
          <w:numId w:val="1"/>
        </w:numPr>
        <w:spacing w:line="360" w:lineRule="auto"/>
        <w:jc w:val="both"/>
        <w:rPr>
          <w:rFonts w:cs="Arial"/>
          <w:b/>
          <w:bCs/>
        </w:rPr>
      </w:pPr>
      <w:r>
        <w:rPr>
          <w:rFonts w:cs="Arial"/>
          <w:bCs/>
        </w:rPr>
        <w:t>These new byelaws were apparently sealed on 2 February 1984</w:t>
      </w:r>
      <w:r w:rsidR="0024324F">
        <w:rPr>
          <w:rStyle w:val="FootnoteReference"/>
          <w:rFonts w:cs="Arial"/>
          <w:bCs/>
        </w:rPr>
        <w:footnoteReference w:id="15"/>
      </w:r>
      <w:r w:rsidR="00E14B02">
        <w:rPr>
          <w:rFonts w:cs="Arial"/>
          <w:bCs/>
        </w:rPr>
        <w:t xml:space="preserve"> and came into effect, with the Secretary of State’s approval, </w:t>
      </w:r>
      <w:r w:rsidR="002C2F8C">
        <w:rPr>
          <w:rFonts w:cs="Arial"/>
          <w:bCs/>
        </w:rPr>
        <w:t xml:space="preserve">on </w:t>
      </w:r>
      <w:r w:rsidR="00704AF2">
        <w:rPr>
          <w:rFonts w:cs="Arial"/>
          <w:bCs/>
        </w:rPr>
        <w:t xml:space="preserve">2 May 1984. </w:t>
      </w:r>
      <w:r w:rsidR="00E879B9">
        <w:rPr>
          <w:rFonts w:cs="Arial"/>
          <w:bCs/>
        </w:rPr>
        <w:t xml:space="preserve">The byelaws are typical byelaws that are made by local authorities to preserve good order on public open spaces. Importantly, </w:t>
      </w:r>
      <w:r w:rsidR="0037684C">
        <w:rPr>
          <w:rFonts w:cs="Arial"/>
          <w:bCs/>
        </w:rPr>
        <w:t xml:space="preserve">it is stated </w:t>
      </w:r>
      <w:r w:rsidR="006D402E">
        <w:rPr>
          <w:rFonts w:cs="Arial"/>
          <w:bCs/>
        </w:rPr>
        <w:t xml:space="preserve">in Part 1 that the byelaws apply </w:t>
      </w:r>
      <w:r w:rsidR="00A65161">
        <w:rPr>
          <w:rFonts w:cs="Arial"/>
          <w:bCs/>
        </w:rPr>
        <w:t>to “</w:t>
      </w:r>
      <w:r w:rsidR="00A65161">
        <w:rPr>
          <w:rFonts w:cs="Arial"/>
          <w:bCs/>
          <w:i/>
        </w:rPr>
        <w:t>Pleasure Grounds with respect to which Byelaws are made under Section 16</w:t>
      </w:r>
      <w:r w:rsidR="009B72CA">
        <w:rPr>
          <w:rFonts w:cs="Arial"/>
          <w:bCs/>
          <w:i/>
        </w:rPr>
        <w:t>4 of the Public Health Act 1875</w:t>
      </w:r>
      <w:r w:rsidR="00A65161">
        <w:rPr>
          <w:rFonts w:cs="Arial"/>
          <w:bCs/>
          <w:i/>
        </w:rPr>
        <w:t>”</w:t>
      </w:r>
      <w:r w:rsidR="009B72CA">
        <w:rPr>
          <w:rFonts w:cs="Arial"/>
          <w:bCs/>
          <w:i/>
        </w:rPr>
        <w:t xml:space="preserve"> </w:t>
      </w:r>
      <w:r w:rsidR="009B72CA">
        <w:rPr>
          <w:rFonts w:cs="Arial"/>
          <w:bCs/>
        </w:rPr>
        <w:t>of which “</w:t>
      </w:r>
      <w:r w:rsidR="009B72CA">
        <w:rPr>
          <w:rFonts w:cs="Arial"/>
          <w:bCs/>
          <w:i/>
        </w:rPr>
        <w:t>Knowle, Sidmouth</w:t>
      </w:r>
      <w:r w:rsidR="00BC566D">
        <w:rPr>
          <w:rFonts w:cs="Arial"/>
          <w:bCs/>
          <w:i/>
        </w:rPr>
        <w:t xml:space="preserve">” </w:t>
      </w:r>
      <w:r w:rsidR="00BC566D">
        <w:rPr>
          <w:rFonts w:cs="Arial"/>
          <w:bCs/>
        </w:rPr>
        <w:t xml:space="preserve">is one such pleasure ground. </w:t>
      </w:r>
    </w:p>
    <w:p w14:paraId="5CB6EB3D" w14:textId="459B739E" w:rsidR="00D9556C" w:rsidRPr="003859AB" w:rsidRDefault="00D9556C" w:rsidP="007B477A">
      <w:pPr>
        <w:pStyle w:val="BodyText"/>
        <w:numPr>
          <w:ilvl w:val="0"/>
          <w:numId w:val="1"/>
        </w:numPr>
        <w:spacing w:line="360" w:lineRule="auto"/>
        <w:jc w:val="both"/>
        <w:rPr>
          <w:rFonts w:cs="Arial"/>
          <w:b/>
          <w:bCs/>
        </w:rPr>
      </w:pPr>
      <w:r>
        <w:rPr>
          <w:rFonts w:cs="Arial"/>
          <w:bCs/>
        </w:rPr>
        <w:t>In a Report to the Policy Committee of the Objector, meeting held on 3 July 1996</w:t>
      </w:r>
      <w:r w:rsidR="00EF0B55">
        <w:rPr>
          <w:rStyle w:val="FootnoteReference"/>
          <w:rFonts w:cs="Arial"/>
          <w:bCs/>
        </w:rPr>
        <w:footnoteReference w:id="16"/>
      </w:r>
      <w:r>
        <w:rPr>
          <w:rFonts w:cs="Arial"/>
          <w:bCs/>
        </w:rPr>
        <w:t xml:space="preserve">, </w:t>
      </w:r>
      <w:r w:rsidR="003859AB">
        <w:rPr>
          <w:rFonts w:cs="Arial"/>
          <w:bCs/>
        </w:rPr>
        <w:t>it was stated that:</w:t>
      </w:r>
    </w:p>
    <w:p w14:paraId="40CF7420" w14:textId="1122A8C9" w:rsidR="003859AB" w:rsidRDefault="00E76AFC" w:rsidP="007A700C">
      <w:pPr>
        <w:pStyle w:val="BodyText"/>
        <w:spacing w:line="360" w:lineRule="auto"/>
        <w:ind w:left="720"/>
        <w:jc w:val="both"/>
        <w:rPr>
          <w:rFonts w:cs="Arial"/>
          <w:bCs/>
          <w:i/>
        </w:rPr>
      </w:pPr>
      <w:r>
        <w:rPr>
          <w:rFonts w:cs="Arial"/>
          <w:bCs/>
          <w:i/>
        </w:rPr>
        <w:t xml:space="preserve">The current Byelaws covering various parks and public open spaces were made in 1984. Since this date Members will be aware that a number of large areas have been adopted by the District </w:t>
      </w:r>
      <w:proofErr w:type="gramStart"/>
      <w:r>
        <w:rPr>
          <w:rFonts w:cs="Arial"/>
          <w:bCs/>
          <w:i/>
        </w:rPr>
        <w:t>Council which</w:t>
      </w:r>
      <w:proofErr w:type="gramEnd"/>
      <w:r>
        <w:rPr>
          <w:rFonts w:cs="Arial"/>
          <w:bCs/>
          <w:i/>
        </w:rPr>
        <w:t xml:space="preserve"> are not covered by these Byelaws.</w:t>
      </w:r>
    </w:p>
    <w:p w14:paraId="33E1FD67" w14:textId="00E192B1" w:rsidR="00142D04" w:rsidRPr="00A16F8A" w:rsidRDefault="000E0A95" w:rsidP="000E0A95">
      <w:pPr>
        <w:pStyle w:val="BodyText"/>
        <w:spacing w:line="360" w:lineRule="auto"/>
        <w:ind w:left="360"/>
        <w:jc w:val="both"/>
        <w:rPr>
          <w:rFonts w:cs="Arial"/>
          <w:bCs/>
        </w:rPr>
      </w:pPr>
      <w:r>
        <w:rPr>
          <w:rFonts w:cs="Arial"/>
          <w:bCs/>
        </w:rPr>
        <w:lastRenderedPageBreak/>
        <w:t xml:space="preserve">It was recorded that the </w:t>
      </w:r>
      <w:r w:rsidR="00A16F8A">
        <w:rPr>
          <w:rFonts w:cs="Arial"/>
          <w:bCs/>
        </w:rPr>
        <w:t>Home Office had been approached</w:t>
      </w:r>
      <w:r w:rsidR="00142D04">
        <w:rPr>
          <w:rFonts w:cs="Arial"/>
          <w:bCs/>
        </w:rPr>
        <w:t xml:space="preserve"> </w:t>
      </w:r>
      <w:r w:rsidR="004A2B93">
        <w:rPr>
          <w:rFonts w:cs="Arial"/>
          <w:bCs/>
        </w:rPr>
        <w:t>with a view to approving revised byelaws. I</w:t>
      </w:r>
      <w:r w:rsidR="00D33814">
        <w:rPr>
          <w:rFonts w:cs="Arial"/>
          <w:bCs/>
        </w:rPr>
        <w:t>t was, so the minutes stated</w:t>
      </w:r>
      <w:r w:rsidR="00F7655A">
        <w:rPr>
          <w:rStyle w:val="FootnoteReference"/>
          <w:rFonts w:cs="Arial"/>
          <w:bCs/>
        </w:rPr>
        <w:footnoteReference w:id="17"/>
      </w:r>
      <w:r w:rsidR="00D33814">
        <w:rPr>
          <w:rFonts w:cs="Arial"/>
          <w:bCs/>
        </w:rPr>
        <w:t xml:space="preserve">, recommended </w:t>
      </w:r>
      <w:r w:rsidR="004A2B93">
        <w:rPr>
          <w:rFonts w:cs="Arial"/>
          <w:bCs/>
        </w:rPr>
        <w:t>that permission be given to the Chief Executive to seal the byelaws that had been agreed with the Home Office</w:t>
      </w:r>
      <w:r w:rsidR="00143E3C">
        <w:rPr>
          <w:rFonts w:cs="Arial"/>
          <w:bCs/>
        </w:rPr>
        <w:t xml:space="preserve"> and that the process of confirmation be proceeded with.</w:t>
      </w:r>
    </w:p>
    <w:p w14:paraId="48A27678" w14:textId="58C91F08" w:rsidR="00703D80" w:rsidRPr="005A2258" w:rsidRDefault="00703D80" w:rsidP="007B477A">
      <w:pPr>
        <w:pStyle w:val="BodyText"/>
        <w:numPr>
          <w:ilvl w:val="0"/>
          <w:numId w:val="1"/>
        </w:numPr>
        <w:spacing w:line="360" w:lineRule="auto"/>
        <w:jc w:val="both"/>
        <w:rPr>
          <w:rFonts w:cs="Arial"/>
          <w:b/>
          <w:bCs/>
        </w:rPr>
      </w:pPr>
      <w:r>
        <w:rPr>
          <w:rFonts w:cs="Arial"/>
          <w:bCs/>
          <w:lang w:val="en-CA"/>
        </w:rPr>
        <w:t>On 3 October 1996 the Secretary of State confirmed</w:t>
      </w:r>
      <w:r w:rsidR="00340719">
        <w:rPr>
          <w:rStyle w:val="FootnoteReference"/>
          <w:rFonts w:cs="Arial"/>
          <w:bCs/>
          <w:lang w:val="en-CA"/>
        </w:rPr>
        <w:footnoteReference w:id="18"/>
      </w:r>
      <w:r>
        <w:rPr>
          <w:rFonts w:cs="Arial"/>
          <w:bCs/>
          <w:lang w:val="en-CA"/>
        </w:rPr>
        <w:t xml:space="preserve"> a large number of byelaws</w:t>
      </w:r>
      <w:r w:rsidR="00A84DE6">
        <w:rPr>
          <w:rFonts w:cs="Arial"/>
          <w:bCs/>
          <w:lang w:val="en-CA"/>
        </w:rPr>
        <w:t>, relevant to a large number of sites,</w:t>
      </w:r>
      <w:r>
        <w:rPr>
          <w:rFonts w:cs="Arial"/>
          <w:bCs/>
          <w:lang w:val="en-CA"/>
        </w:rPr>
        <w:t xml:space="preserve"> contained within a document entitled </w:t>
      </w:r>
      <w:r w:rsidRPr="00703D80">
        <w:rPr>
          <w:rFonts w:cs="Arial"/>
          <w:bCs/>
          <w:lang w:val="en-CA"/>
        </w:rPr>
        <w:t>“</w:t>
      </w:r>
      <w:r w:rsidRPr="00B4716F">
        <w:rPr>
          <w:rFonts w:cs="Arial"/>
          <w:bCs/>
          <w:i/>
          <w:lang w:val="en-CA"/>
        </w:rPr>
        <w:t>BYELAWS relating to PLEASURE GROUNDS.</w:t>
      </w:r>
      <w:r w:rsidRPr="00703D80">
        <w:rPr>
          <w:rFonts w:cs="Arial"/>
          <w:bCs/>
          <w:lang w:val="en-CA"/>
        </w:rPr>
        <w:t>”</w:t>
      </w:r>
      <w:r w:rsidR="009478AD">
        <w:rPr>
          <w:rStyle w:val="FootnoteReference"/>
          <w:rFonts w:cs="Arial"/>
          <w:bCs/>
          <w:lang w:val="en-CA"/>
        </w:rPr>
        <w:footnoteReference w:id="19"/>
      </w:r>
      <w:r>
        <w:rPr>
          <w:rFonts w:cs="Arial"/>
          <w:bCs/>
          <w:lang w:val="en-CA"/>
        </w:rPr>
        <w:t xml:space="preserve"> The byelaws were to come</w:t>
      </w:r>
      <w:r w:rsidR="005A2258">
        <w:rPr>
          <w:rFonts w:cs="Arial"/>
          <w:bCs/>
          <w:lang w:val="en-CA"/>
        </w:rPr>
        <w:t xml:space="preserve"> into force on 13 October 1996.</w:t>
      </w:r>
      <w:r w:rsidR="00F04162">
        <w:rPr>
          <w:rStyle w:val="FootnoteReference"/>
          <w:rFonts w:cs="Arial"/>
          <w:bCs/>
          <w:lang w:val="en-CA"/>
        </w:rPr>
        <w:footnoteReference w:id="20"/>
      </w:r>
      <w:r w:rsidR="005A2258">
        <w:rPr>
          <w:rFonts w:cs="Arial"/>
          <w:bCs/>
          <w:lang w:val="en-CA"/>
        </w:rPr>
        <w:t xml:space="preserve"> </w:t>
      </w:r>
      <w:r w:rsidRPr="005A2258">
        <w:rPr>
          <w:rFonts w:cs="Arial"/>
          <w:bCs/>
          <w:lang w:val="en-CA"/>
        </w:rPr>
        <w:t>These byelaws state in their preamble that they have been made “</w:t>
      </w:r>
      <w:r w:rsidRPr="00B4716F">
        <w:rPr>
          <w:rFonts w:cs="Arial"/>
          <w:bCs/>
          <w:i/>
          <w:lang w:val="en-CA"/>
        </w:rPr>
        <w:t>by the Council of the District of East Devon under section 164 of the Public Health Act 1875, section 15 of the Open Spaces Act 1906 and sections 12 and 15 of the Open Spaces Act 1906, with respect to pleasure grounds and open spaces.</w:t>
      </w:r>
      <w:r w:rsidRPr="005A2258">
        <w:rPr>
          <w:rFonts w:cs="Arial"/>
          <w:bCs/>
          <w:lang w:val="en-CA"/>
        </w:rPr>
        <w:t xml:space="preserve">” These are defined at Schedule 1 as including various named sites including </w:t>
      </w:r>
      <w:r w:rsidR="00021880">
        <w:rPr>
          <w:rFonts w:cs="Arial"/>
          <w:bCs/>
          <w:lang w:val="en-CA"/>
        </w:rPr>
        <w:t xml:space="preserve">one described as </w:t>
      </w:r>
      <w:r w:rsidR="005C4770">
        <w:rPr>
          <w:rFonts w:cs="Arial"/>
          <w:bCs/>
          <w:lang w:val="en-CA"/>
        </w:rPr>
        <w:t>“</w:t>
      </w:r>
      <w:r w:rsidR="005C4770" w:rsidRPr="00B4716F">
        <w:rPr>
          <w:rFonts w:cs="Arial"/>
          <w:bCs/>
          <w:i/>
          <w:lang w:val="en-CA"/>
        </w:rPr>
        <w:t>Knowle</w:t>
      </w:r>
      <w:r w:rsidRPr="005A2258">
        <w:rPr>
          <w:rFonts w:cs="Arial"/>
          <w:bCs/>
          <w:lang w:val="en-CA"/>
        </w:rPr>
        <w:t>”</w:t>
      </w:r>
      <w:r w:rsidR="005C4770">
        <w:rPr>
          <w:rFonts w:cs="Arial"/>
          <w:bCs/>
          <w:lang w:val="en-CA"/>
        </w:rPr>
        <w:t xml:space="preserve"> under the heading “</w:t>
      </w:r>
      <w:r w:rsidR="005C4770" w:rsidRPr="00B4716F">
        <w:rPr>
          <w:rFonts w:cs="Arial"/>
          <w:bCs/>
          <w:i/>
          <w:lang w:val="en-CA"/>
        </w:rPr>
        <w:t>Sidmouth</w:t>
      </w:r>
      <w:r w:rsidR="005C4770">
        <w:rPr>
          <w:rFonts w:cs="Arial"/>
          <w:bCs/>
          <w:lang w:val="en-CA"/>
        </w:rPr>
        <w:t>.”</w:t>
      </w:r>
      <w:r w:rsidRPr="005A2258">
        <w:rPr>
          <w:rFonts w:cs="Arial"/>
          <w:bCs/>
          <w:lang w:val="en-CA"/>
        </w:rPr>
        <w:t xml:space="preserve"> There is no plan attached purporting to show the extent of the land covered by these byelaws</w:t>
      </w:r>
      <w:r w:rsidR="001E44FC">
        <w:rPr>
          <w:rFonts w:cs="Arial"/>
          <w:bCs/>
          <w:lang w:val="en-CA"/>
        </w:rPr>
        <w:t xml:space="preserve">. </w:t>
      </w:r>
      <w:r w:rsidR="00DD3EA9">
        <w:rPr>
          <w:rFonts w:cs="Arial"/>
          <w:bCs/>
          <w:lang w:val="en-CA"/>
        </w:rPr>
        <w:t>The byelaws are perfectly typical and regulate behaviour on matters including: opening times, vehicles, clim</w:t>
      </w:r>
      <w:r w:rsidR="00E849A1">
        <w:rPr>
          <w:rFonts w:cs="Arial"/>
          <w:bCs/>
          <w:lang w:val="en-CA"/>
        </w:rPr>
        <w:t xml:space="preserve">bing, removal of </w:t>
      </w:r>
      <w:r w:rsidR="00A31F08">
        <w:rPr>
          <w:rFonts w:cs="Arial"/>
          <w:bCs/>
          <w:lang w:val="en-CA"/>
        </w:rPr>
        <w:t xml:space="preserve">structures, camping, trading, games, </w:t>
      </w:r>
      <w:r w:rsidR="000324AC">
        <w:rPr>
          <w:rFonts w:cs="Arial"/>
          <w:bCs/>
          <w:lang w:val="en-CA"/>
        </w:rPr>
        <w:t xml:space="preserve">noise, </w:t>
      </w:r>
      <w:r w:rsidR="00E849A1">
        <w:rPr>
          <w:rFonts w:cs="Arial"/>
          <w:bCs/>
          <w:lang w:val="en-CA"/>
        </w:rPr>
        <w:t xml:space="preserve">ball games and the like. </w:t>
      </w:r>
      <w:r w:rsidR="003704DE">
        <w:rPr>
          <w:rFonts w:cs="Arial"/>
          <w:bCs/>
          <w:lang w:val="en-CA"/>
        </w:rPr>
        <w:t xml:space="preserve">The Applicant does not challenge in the validity of these byelaws in any way </w:t>
      </w:r>
      <w:r w:rsidR="00B2666D">
        <w:rPr>
          <w:rFonts w:cs="Arial"/>
          <w:bCs/>
          <w:lang w:val="en-CA"/>
        </w:rPr>
        <w:t>– indeed it was concede</w:t>
      </w:r>
      <w:r w:rsidR="00517057">
        <w:rPr>
          <w:rFonts w:cs="Arial"/>
          <w:bCs/>
          <w:lang w:val="en-CA"/>
        </w:rPr>
        <w:t>d</w:t>
      </w:r>
      <w:r w:rsidR="00B2666D">
        <w:rPr>
          <w:rFonts w:cs="Arial"/>
          <w:bCs/>
          <w:lang w:val="en-CA"/>
        </w:rPr>
        <w:t xml:space="preserve"> that they apply to the whole of the </w:t>
      </w:r>
      <w:r w:rsidR="00753CC0">
        <w:rPr>
          <w:rFonts w:cs="Arial"/>
          <w:bCs/>
          <w:lang w:val="en-CA"/>
        </w:rPr>
        <w:t>application</w:t>
      </w:r>
      <w:r w:rsidR="00607D65">
        <w:rPr>
          <w:rFonts w:cs="Arial"/>
          <w:bCs/>
          <w:lang w:val="en-CA"/>
        </w:rPr>
        <w:t xml:space="preserve"> land. </w:t>
      </w:r>
    </w:p>
    <w:p w14:paraId="0764A759" w14:textId="4946F265" w:rsidR="00DC703F" w:rsidRPr="001B7017" w:rsidRDefault="00EA1A41" w:rsidP="007B477A">
      <w:pPr>
        <w:pStyle w:val="BodyText"/>
        <w:numPr>
          <w:ilvl w:val="0"/>
          <w:numId w:val="1"/>
        </w:numPr>
        <w:spacing w:line="360" w:lineRule="auto"/>
        <w:jc w:val="both"/>
        <w:rPr>
          <w:rFonts w:cs="Arial"/>
          <w:b/>
          <w:bCs/>
        </w:rPr>
      </w:pPr>
      <w:r>
        <w:rPr>
          <w:rFonts w:cs="Arial"/>
          <w:bCs/>
        </w:rPr>
        <w:t>The Registration Authority also produced to the i</w:t>
      </w:r>
      <w:r w:rsidR="003F2A61">
        <w:rPr>
          <w:rFonts w:cs="Arial"/>
          <w:bCs/>
        </w:rPr>
        <w:t>nquiry documents</w:t>
      </w:r>
      <w:r w:rsidR="001C6E4E">
        <w:rPr>
          <w:rStyle w:val="FootnoteReference"/>
          <w:rFonts w:cs="Arial"/>
          <w:bCs/>
        </w:rPr>
        <w:footnoteReference w:id="21"/>
      </w:r>
      <w:r w:rsidR="003F2A61">
        <w:rPr>
          <w:rFonts w:cs="Arial"/>
          <w:bCs/>
        </w:rPr>
        <w:t xml:space="preserve"> in relation to two applications under Schedule 14 of the Wildlife and Countryside Act 1981 made with the aim of adding a number footpaths </w:t>
      </w:r>
      <w:r w:rsidR="00352CBF">
        <w:rPr>
          <w:rFonts w:cs="Arial"/>
          <w:bCs/>
        </w:rPr>
        <w:t xml:space="preserve">within the Knowle to the Definitive Map. </w:t>
      </w:r>
      <w:r w:rsidR="00BF11F5">
        <w:rPr>
          <w:rFonts w:cs="Arial"/>
          <w:bCs/>
        </w:rPr>
        <w:t>In accorda</w:t>
      </w:r>
      <w:r w:rsidR="00394A48">
        <w:rPr>
          <w:rFonts w:cs="Arial"/>
          <w:bCs/>
        </w:rPr>
        <w:t xml:space="preserve">nce with its statutory duty Devon County Council, being the relevant </w:t>
      </w:r>
      <w:r w:rsidR="006539AE">
        <w:rPr>
          <w:rFonts w:cs="Arial"/>
          <w:bCs/>
        </w:rPr>
        <w:t>H</w:t>
      </w:r>
      <w:r w:rsidR="00394A48">
        <w:rPr>
          <w:rFonts w:cs="Arial"/>
          <w:bCs/>
        </w:rPr>
        <w:t xml:space="preserve">ighway </w:t>
      </w:r>
      <w:r w:rsidR="006539AE">
        <w:rPr>
          <w:rFonts w:cs="Arial"/>
          <w:bCs/>
        </w:rPr>
        <w:t>A</w:t>
      </w:r>
      <w:r w:rsidR="00394A48">
        <w:rPr>
          <w:rFonts w:cs="Arial"/>
          <w:bCs/>
        </w:rPr>
        <w:t xml:space="preserve">uthority, considered the applications and a Report was prepared for </w:t>
      </w:r>
      <w:r w:rsidR="000E092A">
        <w:rPr>
          <w:rFonts w:cs="Arial"/>
          <w:bCs/>
        </w:rPr>
        <w:t>a meeting of the</w:t>
      </w:r>
      <w:r w:rsidR="00394A48">
        <w:rPr>
          <w:rFonts w:cs="Arial"/>
          <w:bCs/>
        </w:rPr>
        <w:t xml:space="preserve"> Public Rights of Way </w:t>
      </w:r>
      <w:r w:rsidR="00735319">
        <w:rPr>
          <w:rFonts w:cs="Arial"/>
          <w:bCs/>
        </w:rPr>
        <w:t>Committe</w:t>
      </w:r>
      <w:r w:rsidR="000E092A">
        <w:rPr>
          <w:rFonts w:cs="Arial"/>
          <w:bCs/>
        </w:rPr>
        <w:t xml:space="preserve">e on </w:t>
      </w:r>
      <w:r w:rsidR="004168CD">
        <w:rPr>
          <w:rFonts w:cs="Arial"/>
          <w:bCs/>
        </w:rPr>
        <w:t xml:space="preserve">21 June 2013. </w:t>
      </w:r>
      <w:r w:rsidR="00843BD8">
        <w:rPr>
          <w:rFonts w:cs="Arial"/>
          <w:bCs/>
        </w:rPr>
        <w:t>The Report is informative about th</w:t>
      </w:r>
      <w:r w:rsidR="0049104D">
        <w:rPr>
          <w:rFonts w:cs="Arial"/>
          <w:bCs/>
        </w:rPr>
        <w:t xml:space="preserve">e </w:t>
      </w:r>
      <w:r w:rsidR="0049104D">
        <w:rPr>
          <w:rFonts w:cs="Arial"/>
          <w:bCs/>
        </w:rPr>
        <w:lastRenderedPageBreak/>
        <w:t xml:space="preserve">general history of the Knowle. It came </w:t>
      </w:r>
      <w:r w:rsidR="00843BD8">
        <w:rPr>
          <w:rFonts w:cs="Arial"/>
          <w:bCs/>
        </w:rPr>
        <w:t xml:space="preserve">to the conclusion that no </w:t>
      </w:r>
      <w:r w:rsidR="00DE059C">
        <w:rPr>
          <w:rFonts w:cs="Arial"/>
          <w:bCs/>
        </w:rPr>
        <w:t>modification</w:t>
      </w:r>
      <w:r w:rsidR="00843BD8">
        <w:rPr>
          <w:rFonts w:cs="Arial"/>
          <w:bCs/>
        </w:rPr>
        <w:t xml:space="preserve"> order ought to be made. </w:t>
      </w:r>
      <w:r w:rsidR="00F6265E">
        <w:rPr>
          <w:rFonts w:cs="Arial"/>
          <w:bCs/>
        </w:rPr>
        <w:t xml:space="preserve">The Report was approved </w:t>
      </w:r>
      <w:r w:rsidR="00AB5438">
        <w:rPr>
          <w:rFonts w:cs="Arial"/>
          <w:bCs/>
        </w:rPr>
        <w:t>at that meeting.</w:t>
      </w:r>
      <w:r w:rsidR="00BD6585">
        <w:rPr>
          <w:rStyle w:val="FootnoteReference"/>
          <w:rFonts w:cs="Arial"/>
          <w:bCs/>
        </w:rPr>
        <w:footnoteReference w:id="22"/>
      </w:r>
      <w:r w:rsidR="00AB5438">
        <w:rPr>
          <w:rFonts w:cs="Arial"/>
          <w:bCs/>
        </w:rPr>
        <w:t xml:space="preserve"> </w:t>
      </w:r>
    </w:p>
    <w:p w14:paraId="4087E64A" w14:textId="249F68D3" w:rsidR="003C2F3C" w:rsidRPr="003C2F3C" w:rsidRDefault="000743D9" w:rsidP="007B477A">
      <w:pPr>
        <w:pStyle w:val="BodyText"/>
        <w:numPr>
          <w:ilvl w:val="0"/>
          <w:numId w:val="1"/>
        </w:numPr>
        <w:spacing w:line="360" w:lineRule="auto"/>
        <w:jc w:val="both"/>
        <w:rPr>
          <w:rFonts w:cs="Arial"/>
          <w:b/>
          <w:bCs/>
        </w:rPr>
      </w:pPr>
      <w:r>
        <w:rPr>
          <w:rFonts w:cs="Arial"/>
          <w:bCs/>
        </w:rPr>
        <w:t>It appears that the applicant</w:t>
      </w:r>
      <w:r w:rsidR="008C5D79">
        <w:rPr>
          <w:rFonts w:cs="Arial"/>
          <w:bCs/>
        </w:rPr>
        <w:t xml:space="preserve"> for these modification orders pursued the matter further. Devon County Council, as highway authority, </w:t>
      </w:r>
      <w:r w:rsidR="00031190">
        <w:rPr>
          <w:rFonts w:cs="Arial"/>
          <w:bCs/>
        </w:rPr>
        <w:t>was compelled to produce</w:t>
      </w:r>
      <w:r w:rsidR="005B3FC6">
        <w:rPr>
          <w:rFonts w:cs="Arial"/>
          <w:bCs/>
        </w:rPr>
        <w:t xml:space="preserve"> a Statement of Reasons dated </w:t>
      </w:r>
      <w:r w:rsidR="00294E36">
        <w:rPr>
          <w:rFonts w:cs="Arial"/>
          <w:bCs/>
        </w:rPr>
        <w:t>6 September 2013.</w:t>
      </w:r>
      <w:r w:rsidR="00AD37E5">
        <w:rPr>
          <w:rStyle w:val="FootnoteReference"/>
          <w:rFonts w:cs="Arial"/>
          <w:bCs/>
        </w:rPr>
        <w:footnoteReference w:id="23"/>
      </w:r>
    </w:p>
    <w:p w14:paraId="00FA58A9" w14:textId="09716443" w:rsidR="009D011E" w:rsidRDefault="00F319D2" w:rsidP="009D011E">
      <w:pPr>
        <w:pStyle w:val="BodyText"/>
        <w:numPr>
          <w:ilvl w:val="0"/>
          <w:numId w:val="1"/>
        </w:numPr>
        <w:spacing w:line="360" w:lineRule="auto"/>
        <w:jc w:val="both"/>
        <w:rPr>
          <w:rFonts w:cs="Arial"/>
          <w:b/>
          <w:bCs/>
        </w:rPr>
      </w:pPr>
      <w:r>
        <w:rPr>
          <w:rFonts w:cs="Arial"/>
          <w:bCs/>
        </w:rPr>
        <w:t>On 13 November 2013 an Appeal Decision wa</w:t>
      </w:r>
      <w:r w:rsidR="00C875A8">
        <w:rPr>
          <w:rFonts w:cs="Arial"/>
          <w:bCs/>
        </w:rPr>
        <w:t xml:space="preserve">s issued by Sue M </w:t>
      </w:r>
      <w:proofErr w:type="spellStart"/>
      <w:r w:rsidR="00C875A8">
        <w:rPr>
          <w:rFonts w:cs="Arial"/>
          <w:bCs/>
        </w:rPr>
        <w:t>Arnott</w:t>
      </w:r>
      <w:proofErr w:type="spellEnd"/>
      <w:r w:rsidR="00C875A8">
        <w:rPr>
          <w:rFonts w:cs="Arial"/>
          <w:bCs/>
        </w:rPr>
        <w:t xml:space="preserve"> FIPROW</w:t>
      </w:r>
      <w:r w:rsidR="0091413D">
        <w:rPr>
          <w:rFonts w:cs="Arial"/>
          <w:bCs/>
        </w:rPr>
        <w:t xml:space="preserve"> (Planning Inspectorate)</w:t>
      </w:r>
      <w:r w:rsidR="00C875A8">
        <w:rPr>
          <w:rFonts w:cs="Arial"/>
          <w:bCs/>
        </w:rPr>
        <w:t xml:space="preserve"> </w:t>
      </w:r>
      <w:r w:rsidR="00EB55CB">
        <w:rPr>
          <w:rFonts w:cs="Arial"/>
          <w:bCs/>
        </w:rPr>
        <w:t>an</w:t>
      </w:r>
      <w:r w:rsidR="007A795D">
        <w:rPr>
          <w:rFonts w:cs="Arial"/>
          <w:bCs/>
        </w:rPr>
        <w:t xml:space="preserve"> Inspector </w:t>
      </w:r>
      <w:r w:rsidR="00971214">
        <w:rPr>
          <w:rFonts w:cs="Arial"/>
          <w:bCs/>
        </w:rPr>
        <w:t>on direction of the Secretary of State for Envi</w:t>
      </w:r>
      <w:r w:rsidR="0091413D">
        <w:rPr>
          <w:rFonts w:cs="Arial"/>
          <w:bCs/>
        </w:rPr>
        <w:t>ronment, Food and Rural Affairs.</w:t>
      </w:r>
      <w:r w:rsidR="00214E88">
        <w:rPr>
          <w:rStyle w:val="FootnoteReference"/>
          <w:rFonts w:cs="Arial"/>
          <w:bCs/>
        </w:rPr>
        <w:footnoteReference w:id="24"/>
      </w:r>
      <w:r w:rsidR="006507ED">
        <w:rPr>
          <w:rFonts w:cs="Arial"/>
          <w:bCs/>
        </w:rPr>
        <w:t xml:space="preserve"> The appeal was allowed but only in relation to </w:t>
      </w:r>
      <w:r w:rsidR="00BC42A5">
        <w:rPr>
          <w:rFonts w:cs="Arial"/>
          <w:bCs/>
        </w:rPr>
        <w:t xml:space="preserve">routes </w:t>
      </w:r>
      <w:r w:rsidR="00BC42A5" w:rsidRPr="00BC42A5">
        <w:rPr>
          <w:rFonts w:cs="Arial"/>
          <w:bCs/>
        </w:rPr>
        <w:t>“</w:t>
      </w:r>
      <w:r w:rsidR="00BC42A5" w:rsidRPr="004F3EFB">
        <w:rPr>
          <w:rFonts w:cs="Arial"/>
          <w:bCs/>
          <w:i/>
        </w:rPr>
        <w:t>A-x and B-y</w:t>
      </w:r>
      <w:r w:rsidR="002F0361">
        <w:rPr>
          <w:rFonts w:cs="Arial"/>
          <w:bCs/>
          <w:i/>
        </w:rPr>
        <w:t>.</w:t>
      </w:r>
      <w:r w:rsidR="00BC42A5" w:rsidRPr="00BC42A5">
        <w:rPr>
          <w:rFonts w:cs="Arial"/>
          <w:bCs/>
        </w:rPr>
        <w:t>”</w:t>
      </w:r>
      <w:r w:rsidR="00D0369D" w:rsidRPr="00BC42A5">
        <w:rPr>
          <w:rFonts w:cs="Arial"/>
          <w:bCs/>
        </w:rPr>
        <w:t xml:space="preserve"> </w:t>
      </w:r>
      <w:r w:rsidR="0009519A">
        <w:rPr>
          <w:rFonts w:cs="Arial"/>
          <w:bCs/>
        </w:rPr>
        <w:t xml:space="preserve">The Inspector noted that the main tracks and paths through the grounds of the Knowle have remained in place </w:t>
      </w:r>
      <w:r w:rsidR="0006324D">
        <w:rPr>
          <w:rFonts w:cs="Arial"/>
          <w:bCs/>
        </w:rPr>
        <w:t>since</w:t>
      </w:r>
      <w:r w:rsidR="0009519A">
        <w:rPr>
          <w:rFonts w:cs="Arial"/>
          <w:bCs/>
        </w:rPr>
        <w:t xml:space="preserve"> t</w:t>
      </w:r>
      <w:r w:rsidR="0006324D">
        <w:rPr>
          <w:rFonts w:cs="Arial"/>
          <w:bCs/>
        </w:rPr>
        <w:t xml:space="preserve">heir origins in the late 1880s. </w:t>
      </w:r>
      <w:r w:rsidR="005259BC">
        <w:rPr>
          <w:rFonts w:cs="Arial"/>
          <w:bCs/>
        </w:rPr>
        <w:t xml:space="preserve">The Inspector’s conclusion referred to the evidence, recited above, that there were some areas that had not </w:t>
      </w:r>
      <w:r w:rsidR="009D011E">
        <w:rPr>
          <w:rFonts w:cs="Arial"/>
          <w:bCs/>
        </w:rPr>
        <w:t>been appropriated in July 1973:</w:t>
      </w:r>
    </w:p>
    <w:p w14:paraId="6FD04B96" w14:textId="63F5EE11" w:rsidR="001B7017" w:rsidRPr="009D011E" w:rsidRDefault="009D011E" w:rsidP="009D011E">
      <w:pPr>
        <w:pStyle w:val="BodyText"/>
        <w:spacing w:line="360" w:lineRule="auto"/>
        <w:jc w:val="both"/>
        <w:rPr>
          <w:rFonts w:cs="Arial"/>
          <w:b/>
          <w:bCs/>
        </w:rPr>
      </w:pPr>
      <w:r>
        <w:rPr>
          <w:rFonts w:cs="Arial"/>
          <w:b/>
          <w:bCs/>
        </w:rPr>
        <w:tab/>
      </w:r>
      <w:r w:rsidR="007C393D">
        <w:rPr>
          <w:rFonts w:cs="Arial"/>
          <w:b/>
          <w:bCs/>
        </w:rPr>
        <w:t>“</w:t>
      </w:r>
      <w:r>
        <w:rPr>
          <w:rFonts w:cs="Arial"/>
          <w:bCs/>
          <w:i/>
        </w:rPr>
        <w:t>I find that there</w:t>
      </w:r>
      <w:r w:rsidR="00385878">
        <w:rPr>
          <w:rFonts w:cs="Arial"/>
          <w:bCs/>
          <w:i/>
        </w:rPr>
        <w:t xml:space="preserve"> </w:t>
      </w:r>
      <w:r w:rsidR="006908E1">
        <w:rPr>
          <w:rFonts w:cs="Arial"/>
          <w:bCs/>
          <w:i/>
        </w:rPr>
        <w:t xml:space="preserve">appears </w:t>
      </w:r>
      <w:r w:rsidR="00C212E7">
        <w:rPr>
          <w:rFonts w:cs="Arial"/>
          <w:bCs/>
          <w:i/>
        </w:rPr>
        <w:t xml:space="preserve">to be a sufficient quantity </w:t>
      </w:r>
      <w:r w:rsidR="00CB71F0">
        <w:rPr>
          <w:rFonts w:cs="Arial"/>
          <w:bCs/>
          <w:i/>
        </w:rPr>
        <w:t xml:space="preserve">of use by the public </w:t>
      </w:r>
      <w:r w:rsidR="005F182B">
        <w:rPr>
          <w:rFonts w:cs="Arial"/>
          <w:bCs/>
          <w:i/>
        </w:rPr>
        <w:t xml:space="preserve">during </w:t>
      </w:r>
      <w:r w:rsidR="0023175E">
        <w:rPr>
          <w:rFonts w:cs="Arial"/>
          <w:bCs/>
          <w:i/>
        </w:rPr>
        <w:t xml:space="preserve">the </w:t>
      </w:r>
      <w:r w:rsidR="0023175E">
        <w:rPr>
          <w:rFonts w:cs="Arial"/>
          <w:bCs/>
          <w:i/>
        </w:rPr>
        <w:tab/>
        <w:t xml:space="preserve">twenty </w:t>
      </w:r>
      <w:r w:rsidR="00C54321">
        <w:rPr>
          <w:rFonts w:cs="Arial"/>
          <w:bCs/>
          <w:i/>
        </w:rPr>
        <w:t xml:space="preserve">years </w:t>
      </w:r>
      <w:r w:rsidR="00FC3E22">
        <w:rPr>
          <w:rFonts w:cs="Arial"/>
          <w:bCs/>
          <w:i/>
        </w:rPr>
        <w:t xml:space="preserve">between May 1992 and May 2012 of all the claimed routes but parts </w:t>
      </w:r>
      <w:r w:rsidR="00FC3E22">
        <w:rPr>
          <w:rFonts w:cs="Arial"/>
          <w:bCs/>
          <w:i/>
        </w:rPr>
        <w:tab/>
        <w:t xml:space="preserve">were not ‘as of right’ on account of the land having been appropriated for the </w:t>
      </w:r>
      <w:r w:rsidR="00FC3E22">
        <w:rPr>
          <w:rFonts w:cs="Arial"/>
          <w:bCs/>
          <w:i/>
        </w:rPr>
        <w:tab/>
        <w:t xml:space="preserve">purpose of public walks and pleasure grounds. For those parts of the appeal route </w:t>
      </w:r>
      <w:r w:rsidR="00FC3E22">
        <w:rPr>
          <w:rFonts w:cs="Arial"/>
          <w:bCs/>
          <w:i/>
        </w:rPr>
        <w:tab/>
        <w:t xml:space="preserve">which do not fall within the appropriated area, I regard the use to be sufficient to </w:t>
      </w:r>
      <w:r w:rsidR="00FC3E22">
        <w:rPr>
          <w:rFonts w:cs="Arial"/>
          <w:bCs/>
          <w:i/>
        </w:rPr>
        <w:tab/>
        <w:t>raise a presumption of dedication.</w:t>
      </w:r>
      <w:r w:rsidR="007C393D">
        <w:rPr>
          <w:rFonts w:cs="Arial"/>
          <w:bCs/>
          <w:i/>
        </w:rPr>
        <w:t>”</w:t>
      </w:r>
    </w:p>
    <w:p w14:paraId="14B74C02" w14:textId="1BEBE42C" w:rsidR="003D7128" w:rsidRDefault="00662B8A" w:rsidP="00040F09">
      <w:pPr>
        <w:pStyle w:val="BodyText"/>
        <w:numPr>
          <w:ilvl w:val="0"/>
          <w:numId w:val="1"/>
        </w:numPr>
        <w:spacing w:line="360" w:lineRule="auto"/>
        <w:jc w:val="both"/>
        <w:rPr>
          <w:rFonts w:cs="Arial"/>
          <w:bCs/>
        </w:rPr>
      </w:pPr>
      <w:r>
        <w:rPr>
          <w:rFonts w:cs="Arial"/>
          <w:bCs/>
        </w:rPr>
        <w:t>It is clear to me that</w:t>
      </w:r>
      <w:r w:rsidR="00100E12">
        <w:rPr>
          <w:rFonts w:cs="Arial"/>
          <w:bCs/>
        </w:rPr>
        <w:t xml:space="preserve"> </w:t>
      </w:r>
      <w:r w:rsidR="006539AE">
        <w:rPr>
          <w:rFonts w:cs="Arial"/>
          <w:bCs/>
        </w:rPr>
        <w:t xml:space="preserve">the </w:t>
      </w:r>
      <w:r w:rsidR="00E40859">
        <w:rPr>
          <w:rFonts w:cs="Arial"/>
          <w:bCs/>
        </w:rPr>
        <w:t xml:space="preserve">Inspector </w:t>
      </w:r>
      <w:r>
        <w:rPr>
          <w:rFonts w:cs="Arial"/>
          <w:bCs/>
        </w:rPr>
        <w:t>proceeded on the basis that those areas not expressly appropriated</w:t>
      </w:r>
      <w:r w:rsidR="00D64376">
        <w:rPr>
          <w:rFonts w:cs="Arial"/>
          <w:bCs/>
        </w:rPr>
        <w:t xml:space="preserve"> in 1973</w:t>
      </w:r>
      <w:r>
        <w:rPr>
          <w:rFonts w:cs="Arial"/>
          <w:bCs/>
        </w:rPr>
        <w:t xml:space="preserve"> </w:t>
      </w:r>
      <w:r w:rsidR="00D64376">
        <w:rPr>
          <w:rFonts w:cs="Arial"/>
          <w:bCs/>
        </w:rPr>
        <w:t>were</w:t>
      </w:r>
      <w:r>
        <w:rPr>
          <w:rFonts w:cs="Arial"/>
          <w:bCs/>
        </w:rPr>
        <w:t xml:space="preserve"> not subsequently appropriated although there is no mention in the decision of the imposition of byelaws and any potential implicit appropriation.</w:t>
      </w:r>
      <w:r w:rsidR="006F4C3E">
        <w:rPr>
          <w:rFonts w:cs="Arial"/>
          <w:bCs/>
        </w:rPr>
        <w:t xml:space="preserve"> </w:t>
      </w:r>
      <w:r w:rsidR="00464B8F">
        <w:rPr>
          <w:rFonts w:cs="Arial"/>
          <w:bCs/>
        </w:rPr>
        <w:t>A modification order was made</w:t>
      </w:r>
      <w:r w:rsidR="00B86CD8">
        <w:rPr>
          <w:rFonts w:cs="Arial"/>
          <w:bCs/>
        </w:rPr>
        <w:t xml:space="preserve"> by Devon County Council</w:t>
      </w:r>
      <w:r w:rsidR="00464B8F">
        <w:rPr>
          <w:rFonts w:cs="Arial"/>
          <w:bCs/>
        </w:rPr>
        <w:t xml:space="preserve">, on the direction of the Secretary of State, on </w:t>
      </w:r>
      <w:r w:rsidR="00C672FD">
        <w:rPr>
          <w:rFonts w:cs="Arial"/>
          <w:bCs/>
        </w:rPr>
        <w:t>27</w:t>
      </w:r>
      <w:r w:rsidR="00C76E4B">
        <w:rPr>
          <w:rFonts w:cs="Arial"/>
          <w:bCs/>
        </w:rPr>
        <w:t xml:space="preserve"> </w:t>
      </w:r>
      <w:r w:rsidR="00C672FD">
        <w:rPr>
          <w:rFonts w:cs="Arial"/>
          <w:bCs/>
        </w:rPr>
        <w:t>March</w:t>
      </w:r>
      <w:r w:rsidR="00C76E4B">
        <w:rPr>
          <w:rFonts w:cs="Arial"/>
          <w:bCs/>
        </w:rPr>
        <w:t xml:space="preserve"> 2014.</w:t>
      </w:r>
      <w:r w:rsidR="00EF53AE">
        <w:rPr>
          <w:rStyle w:val="FootnoteReference"/>
          <w:rFonts w:cs="Arial"/>
          <w:bCs/>
        </w:rPr>
        <w:footnoteReference w:id="25"/>
      </w:r>
      <w:r w:rsidR="008F1AA3">
        <w:rPr>
          <w:rFonts w:cs="Arial"/>
          <w:bCs/>
        </w:rPr>
        <w:t xml:space="preserve"> </w:t>
      </w:r>
      <w:r>
        <w:rPr>
          <w:rFonts w:cs="Arial"/>
          <w:bCs/>
        </w:rPr>
        <w:t xml:space="preserve"> </w:t>
      </w:r>
      <w:r w:rsidR="0053792C">
        <w:rPr>
          <w:rFonts w:cs="Arial"/>
          <w:bCs/>
        </w:rPr>
        <w:t xml:space="preserve"> </w:t>
      </w:r>
    </w:p>
    <w:p w14:paraId="1E02C6F3" w14:textId="080D8ED3" w:rsidR="00351486" w:rsidRPr="00A96DF1" w:rsidRDefault="00EA0D8A" w:rsidP="003D7128">
      <w:pPr>
        <w:pStyle w:val="BodyText"/>
        <w:numPr>
          <w:ilvl w:val="0"/>
          <w:numId w:val="1"/>
        </w:numPr>
        <w:spacing w:line="360" w:lineRule="auto"/>
        <w:jc w:val="both"/>
        <w:rPr>
          <w:rFonts w:cs="Arial"/>
          <w:bCs/>
        </w:rPr>
      </w:pPr>
      <w:r>
        <w:rPr>
          <w:rFonts w:cs="Arial"/>
          <w:bCs/>
        </w:rPr>
        <w:t xml:space="preserve">I should add here that any decision of the Secretary of State </w:t>
      </w:r>
      <w:r w:rsidR="0092224F">
        <w:rPr>
          <w:rFonts w:cs="Arial"/>
          <w:bCs/>
        </w:rPr>
        <w:t xml:space="preserve">as to footpaths </w:t>
      </w:r>
      <w:r>
        <w:rPr>
          <w:rFonts w:cs="Arial"/>
          <w:bCs/>
        </w:rPr>
        <w:t>is not bindin</w:t>
      </w:r>
      <w:r w:rsidR="00366545">
        <w:rPr>
          <w:rFonts w:cs="Arial"/>
          <w:bCs/>
        </w:rPr>
        <w:t xml:space="preserve">g on the Registration Authority in relation to the village green application. </w:t>
      </w:r>
    </w:p>
    <w:p w14:paraId="33E43BC9" w14:textId="1275D35B" w:rsidR="003D7128" w:rsidRPr="003D7128" w:rsidRDefault="003D7128" w:rsidP="003D7128">
      <w:pPr>
        <w:pStyle w:val="BodyText"/>
        <w:spacing w:line="360" w:lineRule="auto"/>
        <w:jc w:val="both"/>
        <w:rPr>
          <w:rFonts w:cs="Arial"/>
          <w:b/>
          <w:bCs/>
          <w:u w:val="single"/>
        </w:rPr>
      </w:pPr>
      <w:r>
        <w:rPr>
          <w:rFonts w:cs="Arial"/>
          <w:b/>
          <w:bCs/>
          <w:u w:val="single"/>
        </w:rPr>
        <w:lastRenderedPageBreak/>
        <w:t xml:space="preserve">Witness evidence </w:t>
      </w:r>
    </w:p>
    <w:p w14:paraId="7B93DEAF" w14:textId="7E49FC58" w:rsidR="005C30DA" w:rsidRPr="009C5C37" w:rsidRDefault="007A2B2C" w:rsidP="005C30DA">
      <w:pPr>
        <w:pStyle w:val="BodyText"/>
        <w:numPr>
          <w:ilvl w:val="0"/>
          <w:numId w:val="1"/>
        </w:numPr>
        <w:spacing w:line="360" w:lineRule="auto"/>
        <w:jc w:val="both"/>
        <w:rPr>
          <w:rFonts w:cs="Arial"/>
          <w:bCs/>
        </w:rPr>
      </w:pPr>
      <w:r w:rsidRPr="007A2B2C">
        <w:rPr>
          <w:rFonts w:cs="Arial"/>
          <w:bCs/>
        </w:rPr>
        <w:t>The summary of evidence below is not intended, nor should it be considered, a transcript of the evidence but rather only a summary of what seemed to me to be the most important and relevant points arising from the evidence of each witness.</w:t>
      </w:r>
      <w:r w:rsidR="00AC61FB">
        <w:rPr>
          <w:rFonts w:cs="Arial"/>
          <w:bCs/>
        </w:rPr>
        <w:t xml:space="preserve"> The witnesses are set out in </w:t>
      </w:r>
      <w:r w:rsidR="00855D71">
        <w:rPr>
          <w:rFonts w:cs="Arial"/>
          <w:bCs/>
        </w:rPr>
        <w:t>alphabetical</w:t>
      </w:r>
      <w:r w:rsidR="00AC61FB">
        <w:rPr>
          <w:rFonts w:cs="Arial"/>
          <w:bCs/>
        </w:rPr>
        <w:t xml:space="preserve"> order rather than the order in which they appeared. </w:t>
      </w:r>
    </w:p>
    <w:p w14:paraId="57012685" w14:textId="6E45E972" w:rsidR="003141E4" w:rsidRDefault="003141E4" w:rsidP="003141E4">
      <w:pPr>
        <w:pStyle w:val="BodyText"/>
        <w:spacing w:line="360" w:lineRule="auto"/>
        <w:jc w:val="both"/>
        <w:rPr>
          <w:rFonts w:cs="Arial"/>
          <w:b/>
          <w:bCs/>
          <w:u w:val="single"/>
        </w:rPr>
      </w:pPr>
      <w:r w:rsidRPr="00776932">
        <w:rPr>
          <w:rFonts w:cs="Arial"/>
          <w:b/>
          <w:bCs/>
          <w:u w:val="single"/>
        </w:rPr>
        <w:t xml:space="preserve">Witnesses called to give evidence for the </w:t>
      </w:r>
      <w:r>
        <w:rPr>
          <w:rFonts w:cs="Arial"/>
          <w:b/>
          <w:bCs/>
          <w:u w:val="single"/>
        </w:rPr>
        <w:t>Applicant</w:t>
      </w:r>
    </w:p>
    <w:p w14:paraId="5C9B5845" w14:textId="3A6801A8" w:rsidR="001C7F27" w:rsidRPr="001C7F27" w:rsidRDefault="001C7F27" w:rsidP="001C7F27">
      <w:pPr>
        <w:pStyle w:val="BodyText"/>
        <w:spacing w:line="360" w:lineRule="auto"/>
        <w:jc w:val="both"/>
        <w:rPr>
          <w:rFonts w:cs="Arial"/>
          <w:bCs/>
          <w:u w:val="single"/>
        </w:rPr>
      </w:pPr>
      <w:r w:rsidRPr="001C7F27">
        <w:rPr>
          <w:rFonts w:cs="Arial"/>
          <w:bCs/>
          <w:u w:val="single"/>
        </w:rPr>
        <w:t>Kelvin Dent</w:t>
      </w:r>
    </w:p>
    <w:p w14:paraId="6DBCED38" w14:textId="16ADCA29" w:rsidR="003141E4" w:rsidRDefault="009C5CEF" w:rsidP="003141E4">
      <w:pPr>
        <w:pStyle w:val="BodyText"/>
        <w:numPr>
          <w:ilvl w:val="0"/>
          <w:numId w:val="1"/>
        </w:numPr>
        <w:spacing w:line="360" w:lineRule="auto"/>
        <w:jc w:val="both"/>
        <w:rPr>
          <w:rFonts w:cs="Arial"/>
          <w:bCs/>
        </w:rPr>
      </w:pPr>
      <w:r>
        <w:rPr>
          <w:rFonts w:cs="Arial"/>
          <w:bCs/>
        </w:rPr>
        <w:t>Mr Kelvin Dent made a</w:t>
      </w:r>
      <w:r w:rsidR="00E2355B">
        <w:rPr>
          <w:rFonts w:cs="Arial"/>
          <w:bCs/>
        </w:rPr>
        <w:t xml:space="preserve"> statement dated 24 March 2014</w:t>
      </w:r>
      <w:r w:rsidR="00095309">
        <w:rPr>
          <w:rStyle w:val="FootnoteReference"/>
          <w:rFonts w:cs="Arial"/>
          <w:bCs/>
        </w:rPr>
        <w:footnoteReference w:id="26"/>
      </w:r>
      <w:r w:rsidR="00E2355B">
        <w:rPr>
          <w:rFonts w:cs="Arial"/>
          <w:bCs/>
        </w:rPr>
        <w:t xml:space="preserve"> in which he states that he submitted the application to register the Knowle as a village green</w:t>
      </w:r>
      <w:r w:rsidR="00810FC3">
        <w:rPr>
          <w:rFonts w:cs="Arial"/>
          <w:bCs/>
        </w:rPr>
        <w:t xml:space="preserve"> as he is the Knowle Residents’ Association’s Vice Chair. </w:t>
      </w:r>
    </w:p>
    <w:p w14:paraId="05E10511" w14:textId="3B1FA072" w:rsidR="009E5E2F" w:rsidRDefault="00CD2474" w:rsidP="003141E4">
      <w:pPr>
        <w:pStyle w:val="BodyText"/>
        <w:numPr>
          <w:ilvl w:val="0"/>
          <w:numId w:val="1"/>
        </w:numPr>
        <w:spacing w:line="360" w:lineRule="auto"/>
        <w:jc w:val="both"/>
        <w:rPr>
          <w:rFonts w:cs="Arial"/>
          <w:bCs/>
        </w:rPr>
      </w:pPr>
      <w:r>
        <w:rPr>
          <w:rFonts w:cs="Arial"/>
          <w:bCs/>
        </w:rPr>
        <w:t>Mr Dent summarised the proced</w:t>
      </w:r>
      <w:r w:rsidR="001B36BF">
        <w:rPr>
          <w:rFonts w:cs="Arial"/>
          <w:bCs/>
        </w:rPr>
        <w:t xml:space="preserve">ural history of the application, but I do not need to deal with that here. </w:t>
      </w:r>
      <w:r w:rsidR="002717EB">
        <w:rPr>
          <w:rFonts w:cs="Arial"/>
          <w:bCs/>
        </w:rPr>
        <w:t xml:space="preserve">Mr Dent requested that it would be fairer to all concerned to wait until the outcome of the </w:t>
      </w:r>
      <w:r w:rsidR="002717EB">
        <w:rPr>
          <w:rFonts w:cs="Arial"/>
          <w:bCs/>
          <w:i/>
        </w:rPr>
        <w:t xml:space="preserve">Barkas </w:t>
      </w:r>
      <w:r w:rsidR="002717EB">
        <w:rPr>
          <w:rFonts w:cs="Arial"/>
          <w:bCs/>
        </w:rPr>
        <w:t xml:space="preserve">and </w:t>
      </w:r>
      <w:r w:rsidR="002717EB">
        <w:rPr>
          <w:rFonts w:cs="Arial"/>
          <w:bCs/>
          <w:i/>
        </w:rPr>
        <w:t xml:space="preserve">Newhaven </w:t>
      </w:r>
      <w:r w:rsidR="00C86C1D">
        <w:rPr>
          <w:rFonts w:cs="Arial"/>
          <w:bCs/>
        </w:rPr>
        <w:t xml:space="preserve">judgments in the Supreme Court. </w:t>
      </w:r>
    </w:p>
    <w:p w14:paraId="4DCD49E8" w14:textId="1601B583" w:rsidR="00C0606C" w:rsidRDefault="00FD2BC2" w:rsidP="003141E4">
      <w:pPr>
        <w:pStyle w:val="BodyText"/>
        <w:numPr>
          <w:ilvl w:val="0"/>
          <w:numId w:val="1"/>
        </w:numPr>
        <w:spacing w:line="360" w:lineRule="auto"/>
        <w:jc w:val="both"/>
        <w:rPr>
          <w:rFonts w:cs="Arial"/>
          <w:bCs/>
        </w:rPr>
      </w:pPr>
      <w:r>
        <w:rPr>
          <w:rFonts w:cs="Arial"/>
          <w:bCs/>
        </w:rPr>
        <w:t xml:space="preserve">Mr Dent also outlined those areas that he sought </w:t>
      </w:r>
      <w:r w:rsidR="007E1ECC">
        <w:rPr>
          <w:rFonts w:cs="Arial"/>
          <w:bCs/>
        </w:rPr>
        <w:t>to exclude from the applicatio</w:t>
      </w:r>
      <w:r w:rsidR="00EC3422">
        <w:rPr>
          <w:rFonts w:cs="Arial"/>
          <w:bCs/>
        </w:rPr>
        <w:t>n, attaching a helpful plan</w:t>
      </w:r>
      <w:r w:rsidR="007E1ECC">
        <w:rPr>
          <w:rFonts w:cs="Arial"/>
          <w:bCs/>
        </w:rPr>
        <w:t xml:space="preserve">. </w:t>
      </w:r>
      <w:r>
        <w:rPr>
          <w:rFonts w:cs="Arial"/>
          <w:bCs/>
        </w:rPr>
        <w:t xml:space="preserve">I have dealt with that above. </w:t>
      </w:r>
    </w:p>
    <w:p w14:paraId="60773684" w14:textId="084C9669" w:rsidR="001D14B6" w:rsidRDefault="001D14B6" w:rsidP="003141E4">
      <w:pPr>
        <w:pStyle w:val="BodyText"/>
        <w:numPr>
          <w:ilvl w:val="0"/>
          <w:numId w:val="1"/>
        </w:numPr>
        <w:spacing w:line="360" w:lineRule="auto"/>
        <w:jc w:val="both"/>
        <w:rPr>
          <w:rFonts w:cs="Arial"/>
          <w:bCs/>
        </w:rPr>
      </w:pPr>
      <w:r>
        <w:rPr>
          <w:rFonts w:cs="Arial"/>
          <w:bCs/>
        </w:rPr>
        <w:t>In brief oral evidence, Mr Dent clarified</w:t>
      </w:r>
      <w:r w:rsidR="005F2B40">
        <w:rPr>
          <w:rFonts w:cs="Arial"/>
          <w:bCs/>
        </w:rPr>
        <w:t xml:space="preserve"> that he is a local councillor. </w:t>
      </w:r>
      <w:r w:rsidR="000B0F3F">
        <w:rPr>
          <w:rFonts w:cs="Arial"/>
          <w:bCs/>
        </w:rPr>
        <w:t>In cross-examination he conceded that almost all of the very many evidence questionnaires that he had submitted in support of the application referred to the application land as “the Knowle.”</w:t>
      </w:r>
      <w:r w:rsidR="0063268F">
        <w:rPr>
          <w:rFonts w:cs="Arial"/>
          <w:bCs/>
        </w:rPr>
        <w:t xml:space="preserve"> Further, he agreed that those people filling out evidence questionnaires did not distinguish between one part of the Knowle from another. </w:t>
      </w:r>
    </w:p>
    <w:p w14:paraId="43C45B1A" w14:textId="1333AEE5" w:rsidR="00923462" w:rsidRDefault="00923462" w:rsidP="003141E4">
      <w:pPr>
        <w:pStyle w:val="BodyText"/>
        <w:numPr>
          <w:ilvl w:val="0"/>
          <w:numId w:val="1"/>
        </w:numPr>
        <w:spacing w:line="360" w:lineRule="auto"/>
        <w:jc w:val="both"/>
        <w:rPr>
          <w:rFonts w:cs="Arial"/>
          <w:bCs/>
        </w:rPr>
      </w:pPr>
      <w:r>
        <w:rPr>
          <w:rFonts w:cs="Arial"/>
          <w:bCs/>
        </w:rPr>
        <w:t>Mr Dent also made reference to the fact that he had seen some use of the “raised area”</w:t>
      </w:r>
      <w:r w:rsidR="00BF6452">
        <w:rPr>
          <w:rFonts w:cs="Arial"/>
          <w:bCs/>
        </w:rPr>
        <w:t xml:space="preserve"> himself </w:t>
      </w:r>
      <w:r w:rsidR="00A071AA">
        <w:rPr>
          <w:rFonts w:cs="Arial"/>
          <w:bCs/>
        </w:rPr>
        <w:t xml:space="preserve">and gave further details. He was at pains to point out that he had not produced evidence of actual use for this inquiry because of the Directions that I gave. Mr Dent was of course, entirely correct that the </w:t>
      </w:r>
      <w:r w:rsidR="005F77D9">
        <w:rPr>
          <w:rFonts w:cs="Arial"/>
          <w:bCs/>
        </w:rPr>
        <w:t xml:space="preserve">levels of </w:t>
      </w:r>
      <w:r w:rsidR="00A071AA">
        <w:rPr>
          <w:rFonts w:cs="Arial"/>
          <w:bCs/>
        </w:rPr>
        <w:t xml:space="preserve">use of the Knowle was not an issue I had specified for preliminary </w:t>
      </w:r>
      <w:r w:rsidR="00301168">
        <w:rPr>
          <w:rFonts w:cs="Arial"/>
          <w:bCs/>
        </w:rPr>
        <w:t>treatment</w:t>
      </w:r>
      <w:r w:rsidR="00A071AA">
        <w:rPr>
          <w:rFonts w:cs="Arial"/>
          <w:bCs/>
        </w:rPr>
        <w:t xml:space="preserve">. It would be wrong of me to deal with </w:t>
      </w:r>
      <w:r w:rsidR="00EF33E4">
        <w:rPr>
          <w:rFonts w:cs="Arial"/>
          <w:bCs/>
        </w:rPr>
        <w:t>this</w:t>
      </w:r>
      <w:r w:rsidR="00A071AA">
        <w:rPr>
          <w:rFonts w:cs="Arial"/>
          <w:bCs/>
        </w:rPr>
        <w:t xml:space="preserve"> issue in relation to the witnesses that I heard from and I do not do so here. </w:t>
      </w:r>
    </w:p>
    <w:p w14:paraId="1C75DEA8" w14:textId="2308A836" w:rsidR="003A55DF" w:rsidRDefault="003A55DF" w:rsidP="003141E4">
      <w:pPr>
        <w:pStyle w:val="BodyText"/>
        <w:numPr>
          <w:ilvl w:val="0"/>
          <w:numId w:val="1"/>
        </w:numPr>
        <w:spacing w:line="360" w:lineRule="auto"/>
        <w:jc w:val="both"/>
        <w:rPr>
          <w:rFonts w:cs="Arial"/>
          <w:bCs/>
        </w:rPr>
      </w:pPr>
      <w:r>
        <w:rPr>
          <w:rFonts w:cs="Arial"/>
          <w:bCs/>
        </w:rPr>
        <w:t xml:space="preserve">I found Mr Dent to be entirely honest and straight with his answers. I </w:t>
      </w:r>
      <w:r w:rsidR="002F61C9">
        <w:rPr>
          <w:rFonts w:cs="Arial"/>
          <w:bCs/>
        </w:rPr>
        <w:t xml:space="preserve">accept his evidence as referred to. </w:t>
      </w:r>
    </w:p>
    <w:p w14:paraId="6F516D73" w14:textId="1E9E6811" w:rsidR="001D14B6" w:rsidRPr="001C7F27" w:rsidRDefault="00EF6B48" w:rsidP="001D14B6">
      <w:pPr>
        <w:pStyle w:val="BodyText"/>
        <w:spacing w:line="360" w:lineRule="auto"/>
        <w:jc w:val="both"/>
        <w:rPr>
          <w:rFonts w:cs="Arial"/>
          <w:bCs/>
          <w:u w:val="single"/>
        </w:rPr>
      </w:pPr>
      <w:r>
        <w:rPr>
          <w:rFonts w:cs="Arial"/>
          <w:bCs/>
          <w:u w:val="single"/>
        </w:rPr>
        <w:lastRenderedPageBreak/>
        <w:t>Michael Temple</w:t>
      </w:r>
    </w:p>
    <w:p w14:paraId="40C20BF4" w14:textId="7205231E" w:rsidR="001D14B6" w:rsidRDefault="00B11835" w:rsidP="00924D71">
      <w:pPr>
        <w:pStyle w:val="BodyText"/>
        <w:numPr>
          <w:ilvl w:val="0"/>
          <w:numId w:val="1"/>
        </w:numPr>
        <w:spacing w:line="360" w:lineRule="auto"/>
        <w:jc w:val="both"/>
        <w:rPr>
          <w:rFonts w:cs="Arial"/>
          <w:bCs/>
        </w:rPr>
      </w:pPr>
      <w:r>
        <w:rPr>
          <w:rFonts w:cs="Arial"/>
          <w:bCs/>
        </w:rPr>
        <w:t xml:space="preserve">Mr </w:t>
      </w:r>
      <w:r w:rsidR="005C4BC8">
        <w:rPr>
          <w:rFonts w:cs="Arial"/>
          <w:bCs/>
        </w:rPr>
        <w:t xml:space="preserve">Michael </w:t>
      </w:r>
      <w:r w:rsidR="000E35F3">
        <w:rPr>
          <w:rFonts w:cs="Arial"/>
          <w:bCs/>
        </w:rPr>
        <w:t xml:space="preserve">Temple, who lives at The Pippins, Knowle Drive, Sidmouth </w:t>
      </w:r>
      <w:r w:rsidR="00E1108D">
        <w:rPr>
          <w:rFonts w:cs="Arial"/>
          <w:bCs/>
        </w:rPr>
        <w:t xml:space="preserve">made </w:t>
      </w:r>
      <w:r w:rsidR="00A02A8B">
        <w:rPr>
          <w:rFonts w:cs="Arial"/>
          <w:bCs/>
        </w:rPr>
        <w:t>a statement dated 19 March 2014.</w:t>
      </w:r>
      <w:r w:rsidR="007F2238">
        <w:rPr>
          <w:rStyle w:val="FootnoteReference"/>
          <w:rFonts w:cs="Arial"/>
          <w:bCs/>
        </w:rPr>
        <w:footnoteReference w:id="27"/>
      </w:r>
      <w:r w:rsidR="007301D4">
        <w:rPr>
          <w:rFonts w:cs="Arial"/>
          <w:bCs/>
        </w:rPr>
        <w:t xml:space="preserve"> Mr Temple</w:t>
      </w:r>
      <w:r w:rsidR="00DA3C84">
        <w:rPr>
          <w:rFonts w:cs="Arial"/>
          <w:bCs/>
        </w:rPr>
        <w:t xml:space="preserve"> </w:t>
      </w:r>
      <w:r w:rsidR="00117ED8">
        <w:rPr>
          <w:rFonts w:cs="Arial"/>
          <w:bCs/>
        </w:rPr>
        <w:t xml:space="preserve">also </w:t>
      </w:r>
      <w:r w:rsidR="00DA3C84">
        <w:rPr>
          <w:rFonts w:cs="Arial"/>
          <w:bCs/>
        </w:rPr>
        <w:t>gave an evidence questionnaire.</w:t>
      </w:r>
      <w:r w:rsidR="00F54D98">
        <w:rPr>
          <w:rStyle w:val="FootnoteReference"/>
          <w:rFonts w:cs="Arial"/>
          <w:bCs/>
        </w:rPr>
        <w:footnoteReference w:id="28"/>
      </w:r>
      <w:r w:rsidR="00A02A8B">
        <w:rPr>
          <w:rFonts w:cs="Arial"/>
          <w:bCs/>
        </w:rPr>
        <w:t xml:space="preserve"> </w:t>
      </w:r>
      <w:r w:rsidR="007301D4">
        <w:rPr>
          <w:rFonts w:cs="Arial"/>
          <w:bCs/>
        </w:rPr>
        <w:t>He told the inquiry that he had lived in Sidmouth since 1982.</w:t>
      </w:r>
      <w:r w:rsidR="00BE0ABA">
        <w:rPr>
          <w:rFonts w:cs="Arial"/>
          <w:bCs/>
        </w:rPr>
        <w:t xml:space="preserve"> </w:t>
      </w:r>
      <w:r w:rsidR="00DB648D">
        <w:rPr>
          <w:rFonts w:cs="Arial"/>
          <w:bCs/>
        </w:rPr>
        <w:t xml:space="preserve">He said in his statement that </w:t>
      </w:r>
      <w:r w:rsidR="00746B19">
        <w:rPr>
          <w:rFonts w:cs="Arial"/>
          <w:bCs/>
        </w:rPr>
        <w:t xml:space="preserve">he had not been aware </w:t>
      </w:r>
      <w:r w:rsidR="00AA5A03">
        <w:rPr>
          <w:rFonts w:cs="Arial"/>
          <w:bCs/>
        </w:rPr>
        <w:t xml:space="preserve">of any rights of way signs until May 2012 but that he had been aware of a number of notices on the land relating </w:t>
      </w:r>
      <w:r w:rsidR="007641D6">
        <w:rPr>
          <w:rFonts w:cs="Arial"/>
          <w:bCs/>
        </w:rPr>
        <w:t xml:space="preserve">to </w:t>
      </w:r>
      <w:r w:rsidR="00B4087B">
        <w:rPr>
          <w:rFonts w:cs="Arial"/>
          <w:bCs/>
        </w:rPr>
        <w:t>byelaws.</w:t>
      </w:r>
      <w:r w:rsidR="00464DB8">
        <w:rPr>
          <w:rStyle w:val="FootnoteReference"/>
          <w:rFonts w:cs="Arial"/>
          <w:bCs/>
        </w:rPr>
        <w:footnoteReference w:id="29"/>
      </w:r>
      <w:r w:rsidR="00B4087B">
        <w:rPr>
          <w:rFonts w:cs="Arial"/>
          <w:bCs/>
        </w:rPr>
        <w:t xml:space="preserve"> </w:t>
      </w:r>
      <w:r w:rsidR="009B2522">
        <w:rPr>
          <w:rFonts w:cs="Arial"/>
          <w:bCs/>
        </w:rPr>
        <w:t>He helpfully attached a photograph of such a sign.</w:t>
      </w:r>
      <w:r w:rsidR="00B546B3">
        <w:rPr>
          <w:rStyle w:val="FootnoteReference"/>
          <w:rFonts w:cs="Arial"/>
          <w:bCs/>
        </w:rPr>
        <w:footnoteReference w:id="30"/>
      </w:r>
      <w:r w:rsidR="00BD71B1">
        <w:rPr>
          <w:rFonts w:cs="Arial"/>
          <w:bCs/>
        </w:rPr>
        <w:t xml:space="preserve"> </w:t>
      </w:r>
      <w:r w:rsidR="00C5210A">
        <w:rPr>
          <w:rFonts w:cs="Arial"/>
          <w:bCs/>
        </w:rPr>
        <w:t>It is a typical sign that one might find in a public park.</w:t>
      </w:r>
    </w:p>
    <w:p w14:paraId="7AE2948E" w14:textId="2B78C337" w:rsidR="00C36F42" w:rsidRDefault="00C36F42" w:rsidP="00924D71">
      <w:pPr>
        <w:pStyle w:val="BodyText"/>
        <w:numPr>
          <w:ilvl w:val="0"/>
          <w:numId w:val="1"/>
        </w:numPr>
        <w:spacing w:line="360" w:lineRule="auto"/>
        <w:jc w:val="both"/>
        <w:rPr>
          <w:rFonts w:cs="Arial"/>
          <w:bCs/>
        </w:rPr>
      </w:pPr>
      <w:r>
        <w:rPr>
          <w:rFonts w:cs="Arial"/>
          <w:bCs/>
        </w:rPr>
        <w:t xml:space="preserve">In </w:t>
      </w:r>
      <w:r w:rsidR="009035D4">
        <w:rPr>
          <w:rFonts w:cs="Arial"/>
          <w:bCs/>
        </w:rPr>
        <w:t xml:space="preserve">oral </w:t>
      </w:r>
      <w:r w:rsidR="00FF441F">
        <w:rPr>
          <w:rFonts w:cs="Arial"/>
          <w:bCs/>
        </w:rPr>
        <w:t>evidence</w:t>
      </w:r>
      <w:r w:rsidR="001B7E67">
        <w:rPr>
          <w:rFonts w:cs="Arial"/>
          <w:bCs/>
        </w:rPr>
        <w:t xml:space="preserve"> </w:t>
      </w:r>
      <w:r w:rsidR="00A164D2">
        <w:rPr>
          <w:rFonts w:cs="Arial"/>
          <w:bCs/>
        </w:rPr>
        <w:t>Mr Temple told the inquiry that he had used the “upper law</w:t>
      </w:r>
      <w:r w:rsidR="005211E8">
        <w:rPr>
          <w:rFonts w:cs="Arial"/>
          <w:bCs/>
        </w:rPr>
        <w:t>n</w:t>
      </w:r>
      <w:r w:rsidR="00A164D2">
        <w:rPr>
          <w:rFonts w:cs="Arial"/>
          <w:bCs/>
        </w:rPr>
        <w:t xml:space="preserve">” to watch badgers and that his son had practiced </w:t>
      </w:r>
      <w:r w:rsidR="00140CB8" w:rsidRPr="00140CB8">
        <w:rPr>
          <w:rFonts w:cs="Arial"/>
          <w:bCs/>
        </w:rPr>
        <w:t>tai chi</w:t>
      </w:r>
      <w:r w:rsidR="00140CB8">
        <w:rPr>
          <w:rFonts w:cs="Arial"/>
          <w:bCs/>
        </w:rPr>
        <w:t xml:space="preserve"> there.</w:t>
      </w:r>
      <w:r w:rsidR="00BB0156">
        <w:rPr>
          <w:rFonts w:cs="Arial"/>
          <w:bCs/>
        </w:rPr>
        <w:t xml:space="preserve"> </w:t>
      </w:r>
      <w:r w:rsidR="00140CB8">
        <w:rPr>
          <w:rFonts w:cs="Arial"/>
          <w:bCs/>
        </w:rPr>
        <w:t xml:space="preserve"> </w:t>
      </w:r>
      <w:r w:rsidR="00BB0156">
        <w:rPr>
          <w:rFonts w:cs="Arial"/>
          <w:bCs/>
        </w:rPr>
        <w:t>Mr Temple said that “</w:t>
      </w:r>
      <w:r w:rsidR="00BB0156">
        <w:rPr>
          <w:rFonts w:cs="Arial"/>
          <w:bCs/>
          <w:i/>
        </w:rPr>
        <w:t>everybody understands that the upper lawns are part of the park</w:t>
      </w:r>
      <w:r w:rsidR="00BB0156">
        <w:rPr>
          <w:rFonts w:cs="Arial"/>
          <w:bCs/>
        </w:rPr>
        <w:t xml:space="preserve">.” He further described how he had used the area with his disabled daughter for some 30 years, mushroom picking on the lawns </w:t>
      </w:r>
      <w:r w:rsidR="00CA6AFE">
        <w:rPr>
          <w:rFonts w:cs="Arial"/>
          <w:bCs/>
        </w:rPr>
        <w:t>themselves</w:t>
      </w:r>
      <w:r w:rsidR="00BB0156">
        <w:rPr>
          <w:rFonts w:cs="Arial"/>
          <w:bCs/>
        </w:rPr>
        <w:t xml:space="preserve"> but most often above the </w:t>
      </w:r>
      <w:proofErr w:type="spellStart"/>
      <w:r w:rsidR="00BB0156">
        <w:rPr>
          <w:rFonts w:cs="Arial"/>
          <w:bCs/>
        </w:rPr>
        <w:t>polytunnels</w:t>
      </w:r>
      <w:proofErr w:type="spellEnd"/>
      <w:r w:rsidR="00BB0156">
        <w:rPr>
          <w:rFonts w:cs="Arial"/>
          <w:bCs/>
        </w:rPr>
        <w:t xml:space="preserve">.  </w:t>
      </w:r>
      <w:r w:rsidR="00FF441F">
        <w:rPr>
          <w:rFonts w:cs="Arial"/>
          <w:bCs/>
        </w:rPr>
        <w:t xml:space="preserve"> </w:t>
      </w:r>
    </w:p>
    <w:p w14:paraId="0D02928F" w14:textId="4ECCC5B4" w:rsidR="00B76428" w:rsidRDefault="00C74D92" w:rsidP="00924D71">
      <w:pPr>
        <w:pStyle w:val="BodyText"/>
        <w:numPr>
          <w:ilvl w:val="0"/>
          <w:numId w:val="1"/>
        </w:numPr>
        <w:spacing w:line="360" w:lineRule="auto"/>
        <w:jc w:val="both"/>
        <w:rPr>
          <w:rFonts w:cs="Arial"/>
          <w:bCs/>
        </w:rPr>
      </w:pPr>
      <w:r>
        <w:rPr>
          <w:rFonts w:cs="Arial"/>
          <w:bCs/>
        </w:rPr>
        <w:t xml:space="preserve">Mr Temple also produced a press cutting </w:t>
      </w:r>
      <w:r w:rsidR="007452F3">
        <w:rPr>
          <w:rFonts w:cs="Arial"/>
          <w:bCs/>
        </w:rPr>
        <w:t>from 24 August 2012</w:t>
      </w:r>
      <w:r w:rsidR="00AA6A9E">
        <w:rPr>
          <w:rStyle w:val="FootnoteReference"/>
          <w:rFonts w:cs="Arial"/>
          <w:bCs/>
        </w:rPr>
        <w:footnoteReference w:id="31"/>
      </w:r>
      <w:r w:rsidR="007452F3">
        <w:rPr>
          <w:rFonts w:cs="Arial"/>
          <w:bCs/>
        </w:rPr>
        <w:t xml:space="preserve"> that described a “people’s picnic” that</w:t>
      </w:r>
      <w:r w:rsidR="00E8601F">
        <w:rPr>
          <w:rFonts w:cs="Arial"/>
          <w:bCs/>
        </w:rPr>
        <w:t>, he said,</w:t>
      </w:r>
      <w:r w:rsidR="007452F3">
        <w:rPr>
          <w:rFonts w:cs="Arial"/>
          <w:bCs/>
        </w:rPr>
        <w:t xml:space="preserve"> had been organised on the upper lawns area. </w:t>
      </w:r>
    </w:p>
    <w:p w14:paraId="74AA42A6" w14:textId="25DC9648" w:rsidR="00AF440A" w:rsidRDefault="00AF440A" w:rsidP="00924D71">
      <w:pPr>
        <w:pStyle w:val="BodyText"/>
        <w:numPr>
          <w:ilvl w:val="0"/>
          <w:numId w:val="1"/>
        </w:numPr>
        <w:spacing w:line="360" w:lineRule="auto"/>
        <w:jc w:val="both"/>
        <w:rPr>
          <w:rFonts w:cs="Arial"/>
          <w:bCs/>
        </w:rPr>
      </w:pPr>
      <w:r>
        <w:rPr>
          <w:rFonts w:cs="Arial"/>
          <w:bCs/>
        </w:rPr>
        <w:t xml:space="preserve">In cross-examination Mr Temple agreed that he thought the byelaws applied to the whole of the </w:t>
      </w:r>
      <w:r w:rsidR="00B60BC9">
        <w:rPr>
          <w:rFonts w:cs="Arial"/>
          <w:bCs/>
        </w:rPr>
        <w:t xml:space="preserve">site and said that all of the land is part of the pleasure ground. </w:t>
      </w:r>
      <w:r w:rsidR="004211CD">
        <w:rPr>
          <w:rFonts w:cs="Arial"/>
          <w:bCs/>
        </w:rPr>
        <w:t xml:space="preserve">It also seems that </w:t>
      </w:r>
      <w:r w:rsidR="00AD0154">
        <w:rPr>
          <w:rFonts w:cs="Arial"/>
          <w:bCs/>
        </w:rPr>
        <w:t>Mr Temple has asked permission from the Objector to hold a picnic and a treasure hunt on the upper lawns but this was in and around September 2013 once the status of the land had become in issue.</w:t>
      </w:r>
    </w:p>
    <w:p w14:paraId="5BD56DA7" w14:textId="653EA5C3" w:rsidR="00AD0154" w:rsidRPr="009B522D" w:rsidRDefault="000750B9" w:rsidP="00924D71">
      <w:pPr>
        <w:pStyle w:val="BodyText"/>
        <w:numPr>
          <w:ilvl w:val="0"/>
          <w:numId w:val="1"/>
        </w:numPr>
        <w:spacing w:line="360" w:lineRule="auto"/>
        <w:jc w:val="both"/>
        <w:rPr>
          <w:rFonts w:cs="Arial"/>
          <w:bCs/>
        </w:rPr>
      </w:pPr>
      <w:r>
        <w:rPr>
          <w:rFonts w:cs="Arial"/>
          <w:bCs/>
        </w:rPr>
        <w:t>I found Mr Temple to be a pleasant witness, who was obviously doing his best to assist the inquiry and to answer all the questions posed to him to the best of his ability. I find him to be a</w:t>
      </w:r>
      <w:r w:rsidR="0095186B">
        <w:rPr>
          <w:rFonts w:cs="Arial"/>
          <w:bCs/>
        </w:rPr>
        <w:t>n</w:t>
      </w:r>
      <w:r>
        <w:rPr>
          <w:rFonts w:cs="Arial"/>
          <w:bCs/>
        </w:rPr>
        <w:t xml:space="preserve"> honest witness and I accept his evidence. </w:t>
      </w:r>
    </w:p>
    <w:p w14:paraId="12D92586" w14:textId="051561BF" w:rsidR="007B477A" w:rsidRDefault="00040F09" w:rsidP="00040F09">
      <w:pPr>
        <w:pStyle w:val="BodyText"/>
        <w:spacing w:line="360" w:lineRule="auto"/>
        <w:jc w:val="both"/>
        <w:rPr>
          <w:rFonts w:cs="Arial"/>
          <w:b/>
          <w:bCs/>
          <w:u w:val="single"/>
        </w:rPr>
      </w:pPr>
      <w:r w:rsidRPr="00776932">
        <w:rPr>
          <w:rFonts w:cs="Arial"/>
          <w:b/>
          <w:bCs/>
          <w:u w:val="single"/>
        </w:rPr>
        <w:t>Witnesses called to give evidence for the Objector</w:t>
      </w:r>
    </w:p>
    <w:p w14:paraId="1DCFF39C" w14:textId="77777777" w:rsidR="00944E1B" w:rsidRPr="0043139F" w:rsidRDefault="00944E1B" w:rsidP="00944E1B">
      <w:pPr>
        <w:pStyle w:val="BodyText"/>
        <w:spacing w:line="360" w:lineRule="auto"/>
        <w:jc w:val="both"/>
        <w:rPr>
          <w:u w:val="single"/>
        </w:rPr>
      </w:pPr>
      <w:r w:rsidRPr="0043139F">
        <w:rPr>
          <w:rFonts w:cs="Arial"/>
          <w:bCs/>
          <w:u w:val="single"/>
        </w:rPr>
        <w:t>Bob Capon</w:t>
      </w:r>
    </w:p>
    <w:p w14:paraId="32B02A4F" w14:textId="29C5C8B2" w:rsidR="007C42D5" w:rsidRDefault="003B52C5" w:rsidP="00944E1B">
      <w:pPr>
        <w:pStyle w:val="BodyText"/>
        <w:numPr>
          <w:ilvl w:val="0"/>
          <w:numId w:val="1"/>
        </w:numPr>
        <w:spacing w:line="360" w:lineRule="auto"/>
        <w:jc w:val="both"/>
        <w:rPr>
          <w:rFonts w:cs="Arial"/>
          <w:bCs/>
        </w:rPr>
      </w:pPr>
      <w:r>
        <w:rPr>
          <w:rFonts w:cs="Arial"/>
          <w:bCs/>
        </w:rPr>
        <w:t>Mr Bob Capon made a</w:t>
      </w:r>
      <w:r w:rsidR="009944F5">
        <w:rPr>
          <w:rFonts w:cs="Arial"/>
          <w:bCs/>
        </w:rPr>
        <w:t xml:space="preserve"> statement dated 26 March 2014 that he produced to the inquiry.</w:t>
      </w:r>
      <w:r w:rsidR="00204E49">
        <w:rPr>
          <w:rStyle w:val="FootnoteReference"/>
          <w:rFonts w:cs="Arial"/>
          <w:bCs/>
        </w:rPr>
        <w:footnoteReference w:id="32"/>
      </w:r>
      <w:r w:rsidR="00806DDD">
        <w:rPr>
          <w:rFonts w:cs="Arial"/>
          <w:bCs/>
        </w:rPr>
        <w:t xml:space="preserve"> </w:t>
      </w:r>
      <w:r w:rsidR="005933E0">
        <w:rPr>
          <w:rFonts w:cs="Arial"/>
          <w:bCs/>
        </w:rPr>
        <w:t xml:space="preserve">As he clarified in his oral evidence he has worked for the Objector since 1 </w:t>
      </w:r>
      <w:r w:rsidR="005933E0">
        <w:rPr>
          <w:rFonts w:cs="Arial"/>
          <w:bCs/>
        </w:rPr>
        <w:lastRenderedPageBreak/>
        <w:t>March 1976 and has been based at the K</w:t>
      </w:r>
      <w:r w:rsidR="001357BD">
        <w:rPr>
          <w:rFonts w:cs="Arial"/>
          <w:bCs/>
        </w:rPr>
        <w:t>nowle from the spring of 1978</w:t>
      </w:r>
      <w:r w:rsidR="009944F5">
        <w:rPr>
          <w:rFonts w:cs="Arial"/>
          <w:bCs/>
        </w:rPr>
        <w:t xml:space="preserve"> </w:t>
      </w:r>
      <w:r w:rsidR="005C63AA">
        <w:rPr>
          <w:rFonts w:cs="Arial"/>
          <w:bCs/>
        </w:rPr>
        <w:t xml:space="preserve">to date. </w:t>
      </w:r>
      <w:r w:rsidR="00B42AB7">
        <w:rPr>
          <w:rFonts w:cs="Arial"/>
          <w:bCs/>
        </w:rPr>
        <w:t>Mr Capon’s evidence can be summarised as follows:</w:t>
      </w:r>
    </w:p>
    <w:p w14:paraId="47552DAB" w14:textId="253BA6EF" w:rsidR="00B42AB7" w:rsidRDefault="00B42AB7" w:rsidP="00096DCA">
      <w:pPr>
        <w:pStyle w:val="BodyText"/>
        <w:numPr>
          <w:ilvl w:val="0"/>
          <w:numId w:val="13"/>
        </w:numPr>
        <w:spacing w:line="360" w:lineRule="auto"/>
        <w:jc w:val="both"/>
        <w:rPr>
          <w:rFonts w:cs="Arial"/>
          <w:bCs/>
        </w:rPr>
      </w:pPr>
      <w:r>
        <w:rPr>
          <w:rFonts w:cs="Arial"/>
          <w:bCs/>
        </w:rPr>
        <w:t>He has regularly walked around the buildings and its immediate surrounds and more widely the grounds.</w:t>
      </w:r>
      <w:r w:rsidR="00597549">
        <w:rPr>
          <w:rFonts w:cs="Arial"/>
          <w:bCs/>
        </w:rPr>
        <w:t xml:space="preserve"> He has also visited the site during weekend and bank holidays.</w:t>
      </w:r>
    </w:p>
    <w:p w14:paraId="6769F9A9" w14:textId="038039B2" w:rsidR="00B42AB7" w:rsidRDefault="00B42AB7" w:rsidP="00096DCA">
      <w:pPr>
        <w:pStyle w:val="BodyText"/>
        <w:numPr>
          <w:ilvl w:val="0"/>
          <w:numId w:val="13"/>
        </w:numPr>
        <w:spacing w:line="360" w:lineRule="auto"/>
        <w:jc w:val="both"/>
        <w:rPr>
          <w:rFonts w:cs="Arial"/>
          <w:bCs/>
        </w:rPr>
      </w:pPr>
      <w:r>
        <w:rPr>
          <w:rFonts w:cs="Arial"/>
          <w:bCs/>
        </w:rPr>
        <w:t xml:space="preserve">He is aware that there are signs </w:t>
      </w:r>
      <w:r w:rsidR="00B74379">
        <w:rPr>
          <w:rFonts w:cs="Arial"/>
          <w:bCs/>
        </w:rPr>
        <w:t>located around the grounds that indicate that the grounds are subject to byelaws.</w:t>
      </w:r>
      <w:r w:rsidR="00EE29A2">
        <w:rPr>
          <w:rFonts w:cs="Arial"/>
          <w:bCs/>
        </w:rPr>
        <w:t xml:space="preserve"> He states that “</w:t>
      </w:r>
      <w:r w:rsidR="00EE29A2">
        <w:rPr>
          <w:rFonts w:cs="Arial"/>
          <w:bCs/>
          <w:i/>
        </w:rPr>
        <w:t>As for as I have been, aware, the Knowle is a name which has always been known locally as the entire area of the grounds.”</w:t>
      </w:r>
    </w:p>
    <w:p w14:paraId="714C9F7A" w14:textId="78097882" w:rsidR="00CE7F19" w:rsidRDefault="00B74379" w:rsidP="00096DCA">
      <w:pPr>
        <w:pStyle w:val="BodyText"/>
        <w:numPr>
          <w:ilvl w:val="0"/>
          <w:numId w:val="13"/>
        </w:numPr>
        <w:spacing w:line="360" w:lineRule="auto"/>
        <w:jc w:val="both"/>
        <w:rPr>
          <w:rFonts w:cs="Arial"/>
          <w:bCs/>
        </w:rPr>
      </w:pPr>
      <w:r>
        <w:rPr>
          <w:rFonts w:cs="Arial"/>
          <w:bCs/>
        </w:rPr>
        <w:t>He has had a number of different office</w:t>
      </w:r>
      <w:r w:rsidR="006820FB">
        <w:rPr>
          <w:rFonts w:cs="Arial"/>
          <w:bCs/>
        </w:rPr>
        <w:t>s</w:t>
      </w:r>
      <w:r w:rsidR="00110C5D">
        <w:rPr>
          <w:rFonts w:cs="Arial"/>
          <w:bCs/>
        </w:rPr>
        <w:t xml:space="preserve"> of the years</w:t>
      </w:r>
      <w:r>
        <w:rPr>
          <w:rFonts w:cs="Arial"/>
          <w:bCs/>
        </w:rPr>
        <w:t xml:space="preserve"> with views over different parts of the Knowle </w:t>
      </w:r>
      <w:r w:rsidR="00CE7F19">
        <w:rPr>
          <w:rFonts w:cs="Arial"/>
          <w:bCs/>
        </w:rPr>
        <w:t>and has used the “middle” and “upper” car parks.</w:t>
      </w:r>
    </w:p>
    <w:p w14:paraId="0887BC29" w14:textId="6CD48A7F" w:rsidR="00C07DF2" w:rsidRDefault="001B3EA1" w:rsidP="00096DCA">
      <w:pPr>
        <w:pStyle w:val="BodyText"/>
        <w:numPr>
          <w:ilvl w:val="0"/>
          <w:numId w:val="13"/>
        </w:numPr>
        <w:spacing w:line="360" w:lineRule="auto"/>
        <w:jc w:val="both"/>
        <w:rPr>
          <w:rFonts w:cs="Arial"/>
          <w:bCs/>
        </w:rPr>
      </w:pPr>
      <w:r>
        <w:rPr>
          <w:rFonts w:cs="Arial"/>
          <w:bCs/>
        </w:rPr>
        <w:t>H</w:t>
      </w:r>
      <w:r w:rsidR="006C56C0">
        <w:rPr>
          <w:rFonts w:cs="Arial"/>
          <w:bCs/>
        </w:rPr>
        <w:t>e refers to a plan, which has a</w:t>
      </w:r>
      <w:r>
        <w:rPr>
          <w:rFonts w:cs="Arial"/>
          <w:bCs/>
        </w:rPr>
        <w:t xml:space="preserve"> </w:t>
      </w:r>
      <w:r w:rsidR="00EB2A69">
        <w:rPr>
          <w:rFonts w:cs="Arial"/>
          <w:bCs/>
        </w:rPr>
        <w:t xml:space="preserve">large irregular shaped </w:t>
      </w:r>
      <w:r w:rsidR="0080230E">
        <w:rPr>
          <w:rFonts w:cs="Arial"/>
          <w:bCs/>
        </w:rPr>
        <w:t>area coloured orange, which includes all the areas not appropriated in 1973.</w:t>
      </w:r>
      <w:r w:rsidR="004753F2">
        <w:rPr>
          <w:rFonts w:cs="Arial"/>
          <w:bCs/>
        </w:rPr>
        <w:t xml:space="preserve"> </w:t>
      </w:r>
      <w:r w:rsidR="00C51A6F">
        <w:rPr>
          <w:rFonts w:cs="Arial"/>
          <w:bCs/>
        </w:rPr>
        <w:t>It is then</w:t>
      </w:r>
      <w:r w:rsidR="008B670F">
        <w:rPr>
          <w:rFonts w:cs="Arial"/>
          <w:bCs/>
        </w:rPr>
        <w:t xml:space="preserve"> </w:t>
      </w:r>
      <w:r w:rsidR="00C51A6F">
        <w:rPr>
          <w:rFonts w:cs="Arial"/>
          <w:bCs/>
        </w:rPr>
        <w:t>stated</w:t>
      </w:r>
      <w:r w:rsidR="008B670F">
        <w:rPr>
          <w:rFonts w:cs="Arial"/>
          <w:bCs/>
        </w:rPr>
        <w:t xml:space="preserve"> that he has never seen anyone using any of these areas </w:t>
      </w:r>
      <w:r w:rsidR="004E21CF">
        <w:rPr>
          <w:rFonts w:cs="Arial"/>
          <w:bCs/>
        </w:rPr>
        <w:t xml:space="preserve">apart from the occasional dog walker </w:t>
      </w:r>
      <w:r w:rsidR="00BD22D2">
        <w:rPr>
          <w:rFonts w:cs="Arial"/>
          <w:bCs/>
        </w:rPr>
        <w:t>using the route along</w:t>
      </w:r>
      <w:r w:rsidR="004E21CF">
        <w:rPr>
          <w:rFonts w:cs="Arial"/>
          <w:bCs/>
        </w:rPr>
        <w:t xml:space="preserve"> the </w:t>
      </w:r>
      <w:r w:rsidR="0047782F">
        <w:rPr>
          <w:rFonts w:cs="Arial"/>
          <w:bCs/>
        </w:rPr>
        <w:t>drive from Station Road</w:t>
      </w:r>
      <w:r w:rsidR="00BD22D2">
        <w:rPr>
          <w:rFonts w:cs="Arial"/>
          <w:bCs/>
        </w:rPr>
        <w:t xml:space="preserve"> </w:t>
      </w:r>
      <w:r w:rsidR="00B37FB7">
        <w:rPr>
          <w:rFonts w:cs="Arial"/>
          <w:bCs/>
        </w:rPr>
        <w:t>past</w:t>
      </w:r>
      <w:r w:rsidR="00BD22D2">
        <w:rPr>
          <w:rFonts w:cs="Arial"/>
          <w:bCs/>
        </w:rPr>
        <w:t xml:space="preserve"> the offices and fro</w:t>
      </w:r>
      <w:r w:rsidR="00AD5E42">
        <w:rPr>
          <w:rFonts w:cs="Arial"/>
          <w:bCs/>
        </w:rPr>
        <w:t xml:space="preserve">m there through to the parkland (or </w:t>
      </w:r>
      <w:r w:rsidR="00AD5E42">
        <w:rPr>
          <w:rFonts w:cs="Arial"/>
          <w:bCs/>
          <w:i/>
        </w:rPr>
        <w:t>vice versa</w:t>
      </w:r>
      <w:r w:rsidR="00AD5E42">
        <w:rPr>
          <w:rFonts w:cs="Arial"/>
          <w:bCs/>
        </w:rPr>
        <w:t>).</w:t>
      </w:r>
    </w:p>
    <w:p w14:paraId="3471DB7E" w14:textId="31C754E0" w:rsidR="00B74379" w:rsidRPr="007C42D5" w:rsidRDefault="00C07DF2" w:rsidP="00096DCA">
      <w:pPr>
        <w:pStyle w:val="BodyText"/>
        <w:numPr>
          <w:ilvl w:val="0"/>
          <w:numId w:val="13"/>
        </w:numPr>
        <w:spacing w:line="360" w:lineRule="auto"/>
        <w:jc w:val="both"/>
        <w:rPr>
          <w:rFonts w:cs="Arial"/>
          <w:bCs/>
        </w:rPr>
      </w:pPr>
      <w:r>
        <w:rPr>
          <w:rFonts w:cs="Arial"/>
          <w:bCs/>
        </w:rPr>
        <w:t xml:space="preserve">He states that the areas coloured orange have also appeared to </w:t>
      </w:r>
      <w:r w:rsidR="00AA3271">
        <w:rPr>
          <w:rFonts w:cs="Arial"/>
          <w:bCs/>
        </w:rPr>
        <w:t>him to have</w:t>
      </w:r>
      <w:r>
        <w:rPr>
          <w:rFonts w:cs="Arial"/>
          <w:bCs/>
        </w:rPr>
        <w:t xml:space="preserve"> been treated </w:t>
      </w:r>
      <w:r w:rsidR="001D77C4">
        <w:rPr>
          <w:rFonts w:cs="Arial"/>
          <w:bCs/>
        </w:rPr>
        <w:t>“</w:t>
      </w:r>
      <w:r w:rsidRPr="001D77C4">
        <w:rPr>
          <w:rFonts w:cs="Arial"/>
          <w:bCs/>
          <w:i/>
        </w:rPr>
        <w:t>as part and parcel of the ground</w:t>
      </w:r>
      <w:r w:rsidR="00517243">
        <w:rPr>
          <w:rFonts w:cs="Arial"/>
          <w:bCs/>
          <w:i/>
        </w:rPr>
        <w:t>s</w:t>
      </w:r>
      <w:r w:rsidRPr="001D77C4">
        <w:rPr>
          <w:rFonts w:cs="Arial"/>
          <w:bCs/>
          <w:i/>
        </w:rPr>
        <w:t xml:space="preserve"> specifically associated with the office buildings on site</w:t>
      </w:r>
      <w:r w:rsidR="001D77C4">
        <w:rPr>
          <w:rFonts w:cs="Arial"/>
          <w:bCs/>
        </w:rPr>
        <w:t>”</w:t>
      </w:r>
      <w:r>
        <w:rPr>
          <w:rFonts w:cs="Arial"/>
          <w:bCs/>
        </w:rPr>
        <w:t xml:space="preserve"> – rather than </w:t>
      </w:r>
      <w:r w:rsidR="00885395">
        <w:rPr>
          <w:rFonts w:cs="Arial"/>
          <w:bCs/>
        </w:rPr>
        <w:t>park of the “</w:t>
      </w:r>
      <w:r w:rsidR="00885395">
        <w:rPr>
          <w:rFonts w:cs="Arial"/>
          <w:bCs/>
          <w:i/>
        </w:rPr>
        <w:t>open parkland setting at the Knowle.</w:t>
      </w:r>
      <w:r w:rsidR="00885395">
        <w:rPr>
          <w:rFonts w:cs="Arial"/>
          <w:bCs/>
        </w:rPr>
        <w:t>”</w:t>
      </w:r>
      <w:r w:rsidR="00CD5C0E">
        <w:rPr>
          <w:rFonts w:cs="Arial"/>
          <w:bCs/>
        </w:rPr>
        <w:t xml:space="preserve"> </w:t>
      </w:r>
    </w:p>
    <w:p w14:paraId="2B04BE48" w14:textId="6113369E" w:rsidR="001B698A" w:rsidRDefault="00BA1537" w:rsidP="00D35CBE">
      <w:pPr>
        <w:pStyle w:val="BodyText"/>
        <w:numPr>
          <w:ilvl w:val="0"/>
          <w:numId w:val="1"/>
        </w:numPr>
        <w:spacing w:line="360" w:lineRule="auto"/>
        <w:jc w:val="both"/>
        <w:rPr>
          <w:rFonts w:cs="Arial"/>
          <w:bCs/>
        </w:rPr>
      </w:pPr>
      <w:r>
        <w:rPr>
          <w:rFonts w:cs="Arial"/>
          <w:bCs/>
        </w:rPr>
        <w:t>In oral evidence he stated that he had not seen the upper law</w:t>
      </w:r>
      <w:r w:rsidR="00F92499">
        <w:rPr>
          <w:rFonts w:cs="Arial"/>
          <w:bCs/>
        </w:rPr>
        <w:t>n</w:t>
      </w:r>
      <w:r>
        <w:rPr>
          <w:rFonts w:cs="Arial"/>
          <w:bCs/>
        </w:rPr>
        <w:t xml:space="preserve"> area being</w:t>
      </w:r>
      <w:r w:rsidR="00B87662">
        <w:rPr>
          <w:rFonts w:cs="Arial"/>
          <w:bCs/>
        </w:rPr>
        <w:t xml:space="preserve"> used by members of the public.</w:t>
      </w:r>
      <w:r w:rsidR="001B698A">
        <w:rPr>
          <w:rFonts w:cs="Arial"/>
          <w:bCs/>
        </w:rPr>
        <w:t xml:space="preserve"> Mr Capon was also challenged forcefully</w:t>
      </w:r>
      <w:r w:rsidR="00F12D2E">
        <w:rPr>
          <w:rFonts w:cs="Arial"/>
          <w:bCs/>
        </w:rPr>
        <w:t xml:space="preserve"> in cross-examination about the fact that the words that appear in his statement are almost exactly the same as appear in other statements produced to the inquiry by the Objector. </w:t>
      </w:r>
      <w:r w:rsidR="00DD640D">
        <w:rPr>
          <w:rFonts w:cs="Arial"/>
          <w:bCs/>
        </w:rPr>
        <w:t xml:space="preserve">Mr Capon’s reply </w:t>
      </w:r>
      <w:r w:rsidR="0063293E">
        <w:rPr>
          <w:rFonts w:cs="Arial"/>
          <w:bCs/>
        </w:rPr>
        <w:t xml:space="preserve">was that these were not his own words </w:t>
      </w:r>
      <w:r w:rsidR="00C054FB">
        <w:rPr>
          <w:rFonts w:cs="Arial"/>
          <w:bCs/>
        </w:rPr>
        <w:t xml:space="preserve">but </w:t>
      </w:r>
      <w:r w:rsidR="00D51172">
        <w:rPr>
          <w:rFonts w:cs="Arial"/>
          <w:bCs/>
        </w:rPr>
        <w:t xml:space="preserve">he agreed with the </w:t>
      </w:r>
      <w:r w:rsidR="009E553A">
        <w:rPr>
          <w:rFonts w:cs="Arial"/>
          <w:bCs/>
        </w:rPr>
        <w:t xml:space="preserve">content. </w:t>
      </w:r>
      <w:r w:rsidR="0044520D">
        <w:rPr>
          <w:rFonts w:cs="Arial"/>
          <w:bCs/>
        </w:rPr>
        <w:t xml:space="preserve">There was some discussion about the location of signage on the land. </w:t>
      </w:r>
    </w:p>
    <w:p w14:paraId="29758DDC" w14:textId="3F818421" w:rsidR="00944E1B" w:rsidRPr="00EF6A6C" w:rsidRDefault="0014277B" w:rsidP="00776932">
      <w:pPr>
        <w:pStyle w:val="BodyText"/>
        <w:numPr>
          <w:ilvl w:val="0"/>
          <w:numId w:val="1"/>
        </w:numPr>
        <w:spacing w:line="360" w:lineRule="auto"/>
        <w:jc w:val="both"/>
        <w:rPr>
          <w:rFonts w:cs="Arial"/>
          <w:bCs/>
        </w:rPr>
      </w:pPr>
      <w:r>
        <w:rPr>
          <w:rFonts w:cs="Arial"/>
          <w:bCs/>
        </w:rPr>
        <w:t xml:space="preserve">I must say that the fact that the wording is </w:t>
      </w:r>
      <w:r w:rsidR="00766099">
        <w:rPr>
          <w:rFonts w:cs="Arial"/>
          <w:bCs/>
        </w:rPr>
        <w:t xml:space="preserve">near-enough </w:t>
      </w:r>
      <w:r>
        <w:rPr>
          <w:rFonts w:cs="Arial"/>
          <w:bCs/>
        </w:rPr>
        <w:t>exactly the same</w:t>
      </w:r>
      <w:r w:rsidR="00A27E96">
        <w:rPr>
          <w:rFonts w:cs="Arial"/>
          <w:bCs/>
        </w:rPr>
        <w:t xml:space="preserve"> as a number of other witnesses</w:t>
      </w:r>
      <w:r>
        <w:rPr>
          <w:rFonts w:cs="Arial"/>
          <w:bCs/>
        </w:rPr>
        <w:t xml:space="preserve"> is a matt</w:t>
      </w:r>
      <w:r w:rsidR="003A6AA8">
        <w:rPr>
          <w:rFonts w:cs="Arial"/>
          <w:bCs/>
        </w:rPr>
        <w:t>er that I cannot simply dismiss</w:t>
      </w:r>
      <w:r w:rsidR="002D3B25">
        <w:rPr>
          <w:rFonts w:cs="Arial"/>
          <w:bCs/>
        </w:rPr>
        <w:t xml:space="preserve"> and I found Mr Capon’s answer </w:t>
      </w:r>
      <w:r w:rsidR="0007351C">
        <w:rPr>
          <w:rFonts w:cs="Arial"/>
          <w:bCs/>
        </w:rPr>
        <w:t xml:space="preserve">that </w:t>
      </w:r>
      <w:r w:rsidR="002D3B25">
        <w:rPr>
          <w:rFonts w:cs="Arial"/>
          <w:bCs/>
        </w:rPr>
        <w:t xml:space="preserve">he </w:t>
      </w:r>
      <w:r w:rsidR="009E2D17">
        <w:rPr>
          <w:rFonts w:cs="Arial"/>
          <w:bCs/>
        </w:rPr>
        <w:t>“</w:t>
      </w:r>
      <w:r w:rsidR="002D3B25" w:rsidRPr="0018742F">
        <w:rPr>
          <w:rFonts w:cs="Arial"/>
          <w:bCs/>
          <w:i/>
        </w:rPr>
        <w:t>agreed with th</w:t>
      </w:r>
      <w:r w:rsidR="008B3BF8" w:rsidRPr="0018742F">
        <w:rPr>
          <w:rFonts w:cs="Arial"/>
          <w:bCs/>
          <w:i/>
        </w:rPr>
        <w:t>e content</w:t>
      </w:r>
      <w:r w:rsidR="008B3BF8">
        <w:rPr>
          <w:rFonts w:cs="Arial"/>
          <w:bCs/>
        </w:rPr>
        <w:t xml:space="preserve">” </w:t>
      </w:r>
      <w:r w:rsidR="00EF6A6C">
        <w:rPr>
          <w:rFonts w:cs="Arial"/>
          <w:bCs/>
        </w:rPr>
        <w:t xml:space="preserve">to be extremely lame. </w:t>
      </w:r>
      <w:r w:rsidR="00B77795">
        <w:rPr>
          <w:rFonts w:cs="Arial"/>
          <w:bCs/>
        </w:rPr>
        <w:t>I therefore approach his evidence with some caution</w:t>
      </w:r>
      <w:r w:rsidR="00EF6A6C">
        <w:rPr>
          <w:rFonts w:cs="Arial"/>
          <w:bCs/>
        </w:rPr>
        <w:t xml:space="preserve">. </w:t>
      </w:r>
      <w:r w:rsidR="005A14EB" w:rsidRPr="00EF6A6C">
        <w:rPr>
          <w:rFonts w:cs="Arial"/>
          <w:bCs/>
        </w:rPr>
        <w:t xml:space="preserve">Of most interest, was Mr Capon’s </w:t>
      </w:r>
      <w:r w:rsidR="00D74700" w:rsidRPr="00EF6A6C">
        <w:rPr>
          <w:rFonts w:cs="Arial"/>
          <w:bCs/>
        </w:rPr>
        <w:t xml:space="preserve">response to my question </w:t>
      </w:r>
      <w:r w:rsidR="00D74700" w:rsidRPr="00EF6A6C">
        <w:rPr>
          <w:rFonts w:cs="Arial"/>
          <w:bCs/>
        </w:rPr>
        <w:lastRenderedPageBreak/>
        <w:t xml:space="preserve">as to what he would say if someone asked him where he </w:t>
      </w:r>
      <w:proofErr w:type="gramStart"/>
      <w:r w:rsidR="00D74700" w:rsidRPr="00EF6A6C">
        <w:rPr>
          <w:rFonts w:cs="Arial"/>
          <w:bCs/>
        </w:rPr>
        <w:t>worked</w:t>
      </w:r>
      <w:r w:rsidR="006B3AB7" w:rsidRPr="00EF6A6C">
        <w:rPr>
          <w:rFonts w:cs="Arial"/>
          <w:bCs/>
        </w:rPr>
        <w:t>.</w:t>
      </w:r>
      <w:proofErr w:type="gramEnd"/>
      <w:r w:rsidR="006B3AB7" w:rsidRPr="00EF6A6C">
        <w:rPr>
          <w:rFonts w:cs="Arial"/>
          <w:bCs/>
        </w:rPr>
        <w:t xml:space="preserve"> He did not </w:t>
      </w:r>
      <w:r w:rsidR="00143A0A" w:rsidRPr="00EF6A6C">
        <w:rPr>
          <w:rFonts w:cs="Arial"/>
          <w:bCs/>
        </w:rPr>
        <w:t>hesitate</w:t>
      </w:r>
      <w:r w:rsidR="006B3AB7" w:rsidRPr="00EF6A6C">
        <w:rPr>
          <w:rFonts w:cs="Arial"/>
          <w:bCs/>
        </w:rPr>
        <w:t xml:space="preserve"> to answer “</w:t>
      </w:r>
      <w:r w:rsidR="006B3AB7" w:rsidRPr="00EF6A6C">
        <w:rPr>
          <w:rFonts w:cs="Arial"/>
          <w:bCs/>
          <w:i/>
        </w:rPr>
        <w:t>The Knowle.”</w:t>
      </w:r>
      <w:r w:rsidR="003C01D8" w:rsidRPr="00EF6A6C">
        <w:rPr>
          <w:rFonts w:cs="Arial"/>
          <w:bCs/>
          <w:i/>
        </w:rPr>
        <w:t xml:space="preserve"> </w:t>
      </w:r>
      <w:r w:rsidR="003C01D8" w:rsidRPr="00EF6A6C">
        <w:rPr>
          <w:rFonts w:cs="Arial"/>
          <w:bCs/>
        </w:rPr>
        <w:t xml:space="preserve">I </w:t>
      </w:r>
      <w:r w:rsidR="00DF2ADD">
        <w:rPr>
          <w:rFonts w:cs="Arial"/>
          <w:bCs/>
        </w:rPr>
        <w:t xml:space="preserve">do </w:t>
      </w:r>
      <w:r w:rsidR="003C01D8" w:rsidRPr="00EF6A6C">
        <w:rPr>
          <w:rFonts w:cs="Arial"/>
          <w:bCs/>
        </w:rPr>
        <w:t>accept his</w:t>
      </w:r>
      <w:r w:rsidR="009328BA" w:rsidRPr="00EF6A6C">
        <w:rPr>
          <w:rFonts w:cs="Arial"/>
          <w:bCs/>
        </w:rPr>
        <w:t xml:space="preserve"> evidence about this. </w:t>
      </w:r>
    </w:p>
    <w:p w14:paraId="5DB4C5CA" w14:textId="4E7CDCEA" w:rsidR="00B5407B" w:rsidRPr="004305F0" w:rsidRDefault="00B5407B" w:rsidP="00776932">
      <w:pPr>
        <w:pStyle w:val="BodyText"/>
        <w:spacing w:line="360" w:lineRule="auto"/>
        <w:jc w:val="both"/>
        <w:rPr>
          <w:u w:val="single"/>
        </w:rPr>
      </w:pPr>
      <w:r w:rsidRPr="004305F0">
        <w:rPr>
          <w:u w:val="single"/>
        </w:rPr>
        <w:t>Anna Herbert</w:t>
      </w:r>
    </w:p>
    <w:p w14:paraId="77649725" w14:textId="43382D2B" w:rsidR="00FE6CD5" w:rsidRDefault="00B148CE" w:rsidP="00DE3C7A">
      <w:pPr>
        <w:pStyle w:val="BodyText"/>
        <w:numPr>
          <w:ilvl w:val="0"/>
          <w:numId w:val="1"/>
        </w:numPr>
        <w:spacing w:line="360" w:lineRule="auto"/>
        <w:jc w:val="both"/>
        <w:rPr>
          <w:rFonts w:cs="Arial"/>
          <w:bCs/>
        </w:rPr>
      </w:pPr>
      <w:r>
        <w:rPr>
          <w:rFonts w:cs="Arial"/>
          <w:bCs/>
        </w:rPr>
        <w:t>Mrs Anna Hebert made a statement dated 26 March 2014.</w:t>
      </w:r>
      <w:r w:rsidR="00D50CDC">
        <w:rPr>
          <w:rStyle w:val="FootnoteReference"/>
          <w:rFonts w:cs="Arial"/>
          <w:bCs/>
        </w:rPr>
        <w:footnoteReference w:id="33"/>
      </w:r>
      <w:r>
        <w:rPr>
          <w:rFonts w:cs="Arial"/>
          <w:bCs/>
        </w:rPr>
        <w:t xml:space="preserve"> </w:t>
      </w:r>
      <w:r w:rsidR="00C078C0">
        <w:rPr>
          <w:rFonts w:cs="Arial"/>
          <w:bCs/>
        </w:rPr>
        <w:t>She has been employed by the Objector since 6 September 1988</w:t>
      </w:r>
      <w:r w:rsidR="00520F73">
        <w:rPr>
          <w:rFonts w:cs="Arial"/>
          <w:bCs/>
        </w:rPr>
        <w:t xml:space="preserve">, during which time she has been worked at the offices at the Knowle. </w:t>
      </w:r>
    </w:p>
    <w:p w14:paraId="06E9AD04" w14:textId="21CF2E00" w:rsidR="00E3022C" w:rsidRDefault="00CA2F3A" w:rsidP="00DE3C7A">
      <w:pPr>
        <w:pStyle w:val="BodyText"/>
        <w:numPr>
          <w:ilvl w:val="0"/>
          <w:numId w:val="1"/>
        </w:numPr>
        <w:spacing w:line="360" w:lineRule="auto"/>
        <w:jc w:val="both"/>
        <w:rPr>
          <w:rFonts w:cs="Arial"/>
          <w:bCs/>
        </w:rPr>
      </w:pPr>
      <w:r w:rsidRPr="00DE3C7A">
        <w:rPr>
          <w:rFonts w:cs="Arial"/>
          <w:bCs/>
        </w:rPr>
        <w:t xml:space="preserve"> </w:t>
      </w:r>
      <w:r w:rsidR="00262F0B">
        <w:rPr>
          <w:rFonts w:cs="Arial"/>
          <w:bCs/>
        </w:rPr>
        <w:t>He</w:t>
      </w:r>
      <w:r w:rsidR="006938E0">
        <w:rPr>
          <w:rFonts w:cs="Arial"/>
          <w:bCs/>
        </w:rPr>
        <w:t>r</w:t>
      </w:r>
      <w:r w:rsidR="00262F0B">
        <w:rPr>
          <w:rFonts w:cs="Arial"/>
          <w:bCs/>
        </w:rPr>
        <w:t xml:space="preserve"> statement thereafter uses </w:t>
      </w:r>
      <w:r w:rsidR="00464F67">
        <w:rPr>
          <w:rFonts w:cs="Arial"/>
          <w:bCs/>
        </w:rPr>
        <w:t xml:space="preserve">almost </w:t>
      </w:r>
      <w:r w:rsidR="00262F0B">
        <w:rPr>
          <w:rFonts w:cs="Arial"/>
          <w:bCs/>
        </w:rPr>
        <w:t>exa</w:t>
      </w:r>
      <w:r w:rsidR="003C35D5">
        <w:rPr>
          <w:rFonts w:cs="Arial"/>
          <w:bCs/>
        </w:rPr>
        <w:t xml:space="preserve">ctly the same words as Mr Capon </w:t>
      </w:r>
      <w:r w:rsidR="00262F0B">
        <w:rPr>
          <w:rFonts w:cs="Arial"/>
          <w:bCs/>
        </w:rPr>
        <w:t>and makes the</w:t>
      </w:r>
      <w:r w:rsidR="00547A60">
        <w:rPr>
          <w:rFonts w:cs="Arial"/>
          <w:bCs/>
        </w:rPr>
        <w:t xml:space="preserve"> same points as I have set out in bullet points </w:t>
      </w:r>
      <w:r w:rsidR="006C458A">
        <w:rPr>
          <w:rFonts w:cs="Arial"/>
          <w:bCs/>
        </w:rPr>
        <w:t>when dealing with his evidence.</w:t>
      </w:r>
    </w:p>
    <w:p w14:paraId="22E3F292" w14:textId="738D9614" w:rsidR="00E257F5" w:rsidRDefault="00E3022C" w:rsidP="00DE3C7A">
      <w:pPr>
        <w:pStyle w:val="BodyText"/>
        <w:numPr>
          <w:ilvl w:val="0"/>
          <w:numId w:val="1"/>
        </w:numPr>
        <w:spacing w:line="360" w:lineRule="auto"/>
        <w:jc w:val="both"/>
        <w:rPr>
          <w:rFonts w:cs="Arial"/>
          <w:bCs/>
        </w:rPr>
      </w:pPr>
      <w:r>
        <w:rPr>
          <w:rFonts w:cs="Arial"/>
          <w:bCs/>
        </w:rPr>
        <w:t xml:space="preserve">In cross-examination she was asked why the wording was almost exactly the same in her statement as to be found in a number of </w:t>
      </w:r>
      <w:r w:rsidR="0085368C">
        <w:rPr>
          <w:rFonts w:cs="Arial"/>
          <w:bCs/>
        </w:rPr>
        <w:t>other witnesses</w:t>
      </w:r>
      <w:r>
        <w:rPr>
          <w:rFonts w:cs="Arial"/>
          <w:bCs/>
        </w:rPr>
        <w:t xml:space="preserve">. Mrs Herbert’s reply was that she agreed with the words. </w:t>
      </w:r>
    </w:p>
    <w:p w14:paraId="7AD65EDC" w14:textId="5BE93D64" w:rsidR="00A31C43" w:rsidRDefault="000437D1" w:rsidP="00776932">
      <w:pPr>
        <w:pStyle w:val="BodyText"/>
        <w:numPr>
          <w:ilvl w:val="0"/>
          <w:numId w:val="1"/>
        </w:numPr>
        <w:spacing w:line="360" w:lineRule="auto"/>
        <w:jc w:val="both"/>
        <w:rPr>
          <w:rFonts w:cs="Arial"/>
          <w:bCs/>
        </w:rPr>
      </w:pPr>
      <w:r>
        <w:rPr>
          <w:rFonts w:cs="Arial"/>
          <w:bCs/>
        </w:rPr>
        <w:t>Similarly</w:t>
      </w:r>
      <w:r w:rsidR="001B3AE5">
        <w:rPr>
          <w:rFonts w:cs="Arial"/>
          <w:bCs/>
        </w:rPr>
        <w:t xml:space="preserve"> to Mr Capon, I was less than impressed that Mrs Herbert’</w:t>
      </w:r>
      <w:r w:rsidR="009815F3">
        <w:rPr>
          <w:rFonts w:cs="Arial"/>
          <w:bCs/>
        </w:rPr>
        <w:t>s statement was a blatant repetition</w:t>
      </w:r>
      <w:r w:rsidR="00E257F5">
        <w:rPr>
          <w:rFonts w:cs="Arial"/>
          <w:bCs/>
        </w:rPr>
        <w:t>.</w:t>
      </w:r>
      <w:r w:rsidR="009815F3">
        <w:rPr>
          <w:rFonts w:cs="Arial"/>
          <w:bCs/>
        </w:rPr>
        <w:t xml:space="preserve"> I did not find</w:t>
      </w:r>
      <w:r w:rsidR="00361ED8">
        <w:rPr>
          <w:rFonts w:cs="Arial"/>
          <w:bCs/>
        </w:rPr>
        <w:t xml:space="preserve"> her answer that she agreed with the words to be a sufficient</w:t>
      </w:r>
      <w:r w:rsidR="00DC0942">
        <w:rPr>
          <w:rFonts w:cs="Arial"/>
          <w:bCs/>
        </w:rPr>
        <w:t xml:space="preserve"> or convincing</w:t>
      </w:r>
      <w:r w:rsidR="00361ED8">
        <w:rPr>
          <w:rFonts w:cs="Arial"/>
          <w:bCs/>
        </w:rPr>
        <w:t xml:space="preserve"> explanation</w:t>
      </w:r>
      <w:r w:rsidR="0014612F">
        <w:rPr>
          <w:rFonts w:cs="Arial"/>
          <w:bCs/>
        </w:rPr>
        <w:t xml:space="preserve">. </w:t>
      </w:r>
      <w:r w:rsidR="006E349C">
        <w:rPr>
          <w:rFonts w:cs="Arial"/>
          <w:bCs/>
        </w:rPr>
        <w:t xml:space="preserve">I </w:t>
      </w:r>
      <w:r w:rsidR="007D1D95">
        <w:rPr>
          <w:rFonts w:cs="Arial"/>
          <w:bCs/>
        </w:rPr>
        <w:t xml:space="preserve">therefore </w:t>
      </w:r>
      <w:r w:rsidR="006E349C">
        <w:rPr>
          <w:rFonts w:cs="Arial"/>
          <w:bCs/>
        </w:rPr>
        <w:t>approach her evidence with some caution.</w:t>
      </w:r>
    </w:p>
    <w:p w14:paraId="65C194F8" w14:textId="02829A1D" w:rsidR="00B5407B" w:rsidRPr="00671F2A" w:rsidRDefault="00A31C43" w:rsidP="00776932">
      <w:pPr>
        <w:pStyle w:val="BodyText"/>
        <w:numPr>
          <w:ilvl w:val="0"/>
          <w:numId w:val="1"/>
        </w:numPr>
        <w:spacing w:line="360" w:lineRule="auto"/>
        <w:jc w:val="both"/>
        <w:rPr>
          <w:rFonts w:cs="Arial"/>
          <w:bCs/>
        </w:rPr>
      </w:pPr>
      <w:r>
        <w:rPr>
          <w:rFonts w:cs="Arial"/>
          <w:bCs/>
        </w:rPr>
        <w:t>Like Mr Capon, of most interest was her</w:t>
      </w:r>
      <w:r w:rsidRPr="00EF6A6C">
        <w:rPr>
          <w:rFonts w:cs="Arial"/>
          <w:bCs/>
        </w:rPr>
        <w:t xml:space="preserve"> response to my question as to what he would say if someone asked </w:t>
      </w:r>
      <w:r w:rsidR="00DD36E1">
        <w:rPr>
          <w:rFonts w:cs="Arial"/>
          <w:bCs/>
        </w:rPr>
        <w:t>her</w:t>
      </w:r>
      <w:r w:rsidRPr="00EF6A6C">
        <w:rPr>
          <w:rFonts w:cs="Arial"/>
          <w:bCs/>
        </w:rPr>
        <w:t xml:space="preserve"> where </w:t>
      </w:r>
      <w:r w:rsidR="001107A6">
        <w:rPr>
          <w:rFonts w:cs="Arial"/>
          <w:bCs/>
        </w:rPr>
        <w:t>she</w:t>
      </w:r>
      <w:r w:rsidRPr="00EF6A6C">
        <w:rPr>
          <w:rFonts w:cs="Arial"/>
          <w:bCs/>
        </w:rPr>
        <w:t xml:space="preserve"> worked. </w:t>
      </w:r>
      <w:r w:rsidR="00B03724">
        <w:rPr>
          <w:rFonts w:cs="Arial"/>
          <w:bCs/>
        </w:rPr>
        <w:t>She answered:</w:t>
      </w:r>
      <w:r w:rsidRPr="00EF6A6C">
        <w:rPr>
          <w:rFonts w:cs="Arial"/>
          <w:bCs/>
        </w:rPr>
        <w:t xml:space="preserve"> “</w:t>
      </w:r>
      <w:r w:rsidRPr="00EF6A6C">
        <w:rPr>
          <w:rFonts w:cs="Arial"/>
          <w:bCs/>
          <w:i/>
        </w:rPr>
        <w:t xml:space="preserve">The Knowle.” </w:t>
      </w:r>
      <w:r w:rsidRPr="00EF6A6C">
        <w:rPr>
          <w:rFonts w:cs="Arial"/>
          <w:bCs/>
        </w:rPr>
        <w:t xml:space="preserve">I </w:t>
      </w:r>
      <w:r w:rsidR="00D64B61">
        <w:rPr>
          <w:rFonts w:cs="Arial"/>
          <w:bCs/>
        </w:rPr>
        <w:t xml:space="preserve">do </w:t>
      </w:r>
      <w:r w:rsidRPr="00EF6A6C">
        <w:rPr>
          <w:rFonts w:cs="Arial"/>
          <w:bCs/>
        </w:rPr>
        <w:t xml:space="preserve">accept </w:t>
      </w:r>
      <w:r w:rsidR="00BE05DF">
        <w:rPr>
          <w:rFonts w:cs="Arial"/>
          <w:bCs/>
        </w:rPr>
        <w:t>her</w:t>
      </w:r>
      <w:r w:rsidRPr="00EF6A6C">
        <w:rPr>
          <w:rFonts w:cs="Arial"/>
          <w:bCs/>
        </w:rPr>
        <w:t xml:space="preserve"> evidence about this.</w:t>
      </w:r>
    </w:p>
    <w:p w14:paraId="21769952" w14:textId="5DE4ABE4" w:rsidR="00776932" w:rsidRPr="00776932" w:rsidRDefault="00776932" w:rsidP="00776932">
      <w:pPr>
        <w:pStyle w:val="BodyText"/>
        <w:spacing w:line="360" w:lineRule="auto"/>
        <w:jc w:val="both"/>
        <w:rPr>
          <w:u w:val="single"/>
        </w:rPr>
      </w:pPr>
      <w:r w:rsidRPr="00776932">
        <w:rPr>
          <w:u w:val="single"/>
        </w:rPr>
        <w:t>Henry Gordon Lennox</w:t>
      </w:r>
    </w:p>
    <w:p w14:paraId="33EB646D" w14:textId="41CDF91D" w:rsidR="00E27B74" w:rsidRPr="00927175" w:rsidRDefault="00776932" w:rsidP="00E27B74">
      <w:pPr>
        <w:pStyle w:val="BodyText"/>
        <w:numPr>
          <w:ilvl w:val="0"/>
          <w:numId w:val="1"/>
        </w:numPr>
        <w:spacing w:line="360" w:lineRule="auto"/>
        <w:jc w:val="both"/>
      </w:pPr>
      <w:r w:rsidRPr="00776932">
        <w:rPr>
          <w:rFonts w:cs="Arial"/>
          <w:bCs/>
        </w:rPr>
        <w:t xml:space="preserve">Henry Gordon Lennox </w:t>
      </w:r>
      <w:r w:rsidR="00830865">
        <w:rPr>
          <w:rFonts w:cs="Arial"/>
          <w:bCs/>
        </w:rPr>
        <w:t xml:space="preserve">made a number of </w:t>
      </w:r>
      <w:r w:rsidR="0069051E">
        <w:rPr>
          <w:rFonts w:cs="Arial"/>
          <w:bCs/>
        </w:rPr>
        <w:t xml:space="preserve">witness </w:t>
      </w:r>
      <w:r w:rsidR="00822AB1">
        <w:rPr>
          <w:rFonts w:cs="Arial"/>
          <w:bCs/>
        </w:rPr>
        <w:t>statements that were presented to the inquiry</w:t>
      </w:r>
      <w:r w:rsidR="00144E5A">
        <w:rPr>
          <w:rFonts w:cs="Arial"/>
          <w:bCs/>
        </w:rPr>
        <w:t xml:space="preserve"> dated</w:t>
      </w:r>
      <w:r w:rsidR="007A4609">
        <w:rPr>
          <w:rFonts w:cs="Arial"/>
          <w:bCs/>
        </w:rPr>
        <w:t xml:space="preserve"> 26 March 2014 and 4 April 2014.</w:t>
      </w:r>
      <w:r w:rsidR="00E83333">
        <w:rPr>
          <w:rStyle w:val="FootnoteReference"/>
          <w:rFonts w:cs="Arial"/>
          <w:bCs/>
        </w:rPr>
        <w:footnoteReference w:id="34"/>
      </w:r>
      <w:r w:rsidR="00485EF1">
        <w:rPr>
          <w:rFonts w:cs="Arial"/>
          <w:bCs/>
        </w:rPr>
        <w:t xml:space="preserve"> He has been, since April 201</w:t>
      </w:r>
      <w:r w:rsidR="006938E0">
        <w:rPr>
          <w:rFonts w:cs="Arial"/>
          <w:bCs/>
        </w:rPr>
        <w:t>3</w:t>
      </w:r>
      <w:r w:rsidR="00485EF1">
        <w:rPr>
          <w:rFonts w:cs="Arial"/>
          <w:bCs/>
        </w:rPr>
        <w:t xml:space="preserve">, the Principal </w:t>
      </w:r>
      <w:r w:rsidR="00AB794C">
        <w:rPr>
          <w:rFonts w:cs="Arial"/>
          <w:bCs/>
        </w:rPr>
        <w:t xml:space="preserve">Solicitor of the Objector. </w:t>
      </w:r>
      <w:r w:rsidR="0058690D">
        <w:rPr>
          <w:rFonts w:cs="Arial"/>
          <w:bCs/>
        </w:rPr>
        <w:t xml:space="preserve">In his first witness statement he exhibited most of the documents that I have referred to above and provided a helpful description of what they show. </w:t>
      </w:r>
    </w:p>
    <w:p w14:paraId="6D897769" w14:textId="4C0D25C1" w:rsidR="00927175" w:rsidRPr="00E4384C" w:rsidRDefault="001E0B4B" w:rsidP="00E27B74">
      <w:pPr>
        <w:pStyle w:val="BodyText"/>
        <w:numPr>
          <w:ilvl w:val="0"/>
          <w:numId w:val="1"/>
        </w:numPr>
        <w:spacing w:line="360" w:lineRule="auto"/>
        <w:jc w:val="both"/>
      </w:pPr>
      <w:r>
        <w:rPr>
          <w:rFonts w:cs="Arial"/>
          <w:bCs/>
        </w:rPr>
        <w:t xml:space="preserve">Mr Gordon Lennox stated that the lower car park (shown hatched blue on a plan produced) was constructed following planning permission being granted in </w:t>
      </w:r>
      <w:r w:rsidR="00FF3C73">
        <w:rPr>
          <w:rFonts w:cs="Arial"/>
          <w:bCs/>
        </w:rPr>
        <w:t>January</w:t>
      </w:r>
      <w:r>
        <w:rPr>
          <w:rFonts w:cs="Arial"/>
          <w:bCs/>
        </w:rPr>
        <w:t xml:space="preserve"> </w:t>
      </w:r>
      <w:r>
        <w:rPr>
          <w:rFonts w:cs="Arial"/>
          <w:bCs/>
        </w:rPr>
        <w:lastRenderedPageBreak/>
        <w:t>1994.</w:t>
      </w:r>
      <w:r w:rsidR="00DF7CC1">
        <w:rPr>
          <w:rStyle w:val="FootnoteReference"/>
          <w:rFonts w:cs="Arial"/>
          <w:bCs/>
        </w:rPr>
        <w:footnoteReference w:id="35"/>
      </w:r>
      <w:r>
        <w:rPr>
          <w:rFonts w:cs="Arial"/>
          <w:bCs/>
        </w:rPr>
        <w:t xml:space="preserve"> He further</w:t>
      </w:r>
      <w:r w:rsidR="00927175">
        <w:rPr>
          <w:rFonts w:cs="Arial"/>
          <w:bCs/>
        </w:rPr>
        <w:t xml:space="preserve"> stated that the </w:t>
      </w:r>
      <w:r w:rsidR="009826EC">
        <w:rPr>
          <w:rFonts w:cs="Arial"/>
          <w:bCs/>
        </w:rPr>
        <w:t>“</w:t>
      </w:r>
      <w:r w:rsidR="00927175" w:rsidRPr="009826EC">
        <w:rPr>
          <w:rFonts w:cs="Arial"/>
          <w:bCs/>
          <w:i/>
        </w:rPr>
        <w:t>upper</w:t>
      </w:r>
      <w:r w:rsidR="009826EC">
        <w:rPr>
          <w:rFonts w:cs="Arial"/>
          <w:bCs/>
        </w:rPr>
        <w:t>”</w:t>
      </w:r>
      <w:r w:rsidR="00927175">
        <w:rPr>
          <w:rFonts w:cs="Arial"/>
          <w:bCs/>
        </w:rPr>
        <w:t xml:space="preserve"> and </w:t>
      </w:r>
      <w:r w:rsidR="009826EC">
        <w:rPr>
          <w:rFonts w:cs="Arial"/>
          <w:bCs/>
        </w:rPr>
        <w:t>“</w:t>
      </w:r>
      <w:r w:rsidR="00927175" w:rsidRPr="009826EC">
        <w:rPr>
          <w:rFonts w:cs="Arial"/>
          <w:bCs/>
          <w:i/>
        </w:rPr>
        <w:t>middle</w:t>
      </w:r>
      <w:r w:rsidR="009826EC">
        <w:rPr>
          <w:rFonts w:cs="Arial"/>
          <w:bCs/>
        </w:rPr>
        <w:t>”</w:t>
      </w:r>
      <w:r w:rsidR="00927175">
        <w:rPr>
          <w:rFonts w:cs="Arial"/>
          <w:bCs/>
        </w:rPr>
        <w:t xml:space="preserve"> </w:t>
      </w:r>
      <w:r w:rsidR="009E7168">
        <w:rPr>
          <w:rFonts w:cs="Arial"/>
          <w:bCs/>
        </w:rPr>
        <w:t>(shown hatched red on a plan prepared for the inquiry</w:t>
      </w:r>
      <w:r w:rsidR="00444F55">
        <w:rPr>
          <w:rStyle w:val="FootnoteReference"/>
          <w:rFonts w:cs="Arial"/>
          <w:bCs/>
        </w:rPr>
        <w:footnoteReference w:id="36"/>
      </w:r>
      <w:r w:rsidR="009E7168">
        <w:rPr>
          <w:rFonts w:cs="Arial"/>
          <w:bCs/>
        </w:rPr>
        <w:t xml:space="preserve">) </w:t>
      </w:r>
      <w:r w:rsidR="00927175">
        <w:rPr>
          <w:rFonts w:cs="Arial"/>
          <w:bCs/>
        </w:rPr>
        <w:t xml:space="preserve">car parks were constructed in and around the end of 1974 and into early 1975, but </w:t>
      </w:r>
      <w:r w:rsidR="00927175">
        <w:rPr>
          <w:rFonts w:cs="Arial"/>
          <w:bCs/>
          <w:i/>
        </w:rPr>
        <w:t>“certainly after East Devon District Council had taken ownership of the land.</w:t>
      </w:r>
      <w:r w:rsidR="008F76FF">
        <w:rPr>
          <w:rFonts w:cs="Arial"/>
          <w:bCs/>
          <w:i/>
        </w:rPr>
        <w:t xml:space="preserve"> The contractor who carried out work has confirmed this orally to employees at the Council.</w:t>
      </w:r>
      <w:r w:rsidR="00BB1EED">
        <w:rPr>
          <w:rFonts w:cs="Arial"/>
          <w:bCs/>
          <w:i/>
        </w:rPr>
        <w:t xml:space="preserve">” </w:t>
      </w:r>
      <w:r w:rsidR="00105336">
        <w:rPr>
          <w:rFonts w:cs="Arial"/>
          <w:bCs/>
        </w:rPr>
        <w:t xml:space="preserve">There </w:t>
      </w:r>
      <w:r w:rsidR="008821DE">
        <w:rPr>
          <w:rFonts w:cs="Arial"/>
          <w:bCs/>
        </w:rPr>
        <w:t>is an aerial photo dated 22 June</w:t>
      </w:r>
      <w:r w:rsidR="00105336">
        <w:rPr>
          <w:rFonts w:cs="Arial"/>
          <w:bCs/>
        </w:rPr>
        <w:t xml:space="preserve"> 1975 that shows both car parks in </w:t>
      </w:r>
      <w:r w:rsidR="008821DE">
        <w:rPr>
          <w:rFonts w:cs="Arial"/>
          <w:bCs/>
        </w:rPr>
        <w:t>existence</w:t>
      </w:r>
      <w:r w:rsidR="00105336">
        <w:rPr>
          <w:rFonts w:cs="Arial"/>
          <w:bCs/>
        </w:rPr>
        <w:t>.</w:t>
      </w:r>
      <w:r w:rsidR="00117C83">
        <w:rPr>
          <w:rStyle w:val="FootnoteReference"/>
          <w:rFonts w:cs="Arial"/>
          <w:bCs/>
        </w:rPr>
        <w:footnoteReference w:id="37"/>
      </w:r>
    </w:p>
    <w:p w14:paraId="6B9E66B6" w14:textId="7A941E24" w:rsidR="00E4384C" w:rsidRPr="00E8459D" w:rsidRDefault="0070754E" w:rsidP="00E27B74">
      <w:pPr>
        <w:pStyle w:val="BodyText"/>
        <w:numPr>
          <w:ilvl w:val="0"/>
          <w:numId w:val="1"/>
        </w:numPr>
        <w:spacing w:line="360" w:lineRule="auto"/>
        <w:jc w:val="both"/>
      </w:pPr>
      <w:r>
        <w:rPr>
          <w:rFonts w:cs="Arial"/>
          <w:bCs/>
        </w:rPr>
        <w:t xml:space="preserve">Mr Gordon Lennox </w:t>
      </w:r>
      <w:r w:rsidR="00C11D0B">
        <w:rPr>
          <w:rFonts w:cs="Arial"/>
          <w:bCs/>
        </w:rPr>
        <w:t>referred to the imposition of byelaws and points out that the paperwork available shows that the Knowle was fi</w:t>
      </w:r>
      <w:r w:rsidR="00746261">
        <w:rPr>
          <w:rFonts w:cs="Arial"/>
          <w:bCs/>
        </w:rPr>
        <w:t xml:space="preserve">rst subject to byelaws in 1984, with new byelaws being made in 1996. </w:t>
      </w:r>
      <w:r w:rsidR="00CC3532">
        <w:rPr>
          <w:rFonts w:cs="Arial"/>
          <w:bCs/>
        </w:rPr>
        <w:t>He helpful</w:t>
      </w:r>
      <w:r w:rsidR="006938E0">
        <w:rPr>
          <w:rFonts w:cs="Arial"/>
          <w:bCs/>
        </w:rPr>
        <w:t>ly</w:t>
      </w:r>
      <w:r w:rsidR="00CC3532">
        <w:rPr>
          <w:rFonts w:cs="Arial"/>
          <w:bCs/>
        </w:rPr>
        <w:t xml:space="preserve"> told the inquiry that there was nothing on the file that can be found that indicate</w:t>
      </w:r>
      <w:r w:rsidR="006938E0">
        <w:rPr>
          <w:rFonts w:cs="Arial"/>
          <w:bCs/>
        </w:rPr>
        <w:t>s</w:t>
      </w:r>
      <w:r w:rsidR="00CC3532">
        <w:rPr>
          <w:rFonts w:cs="Arial"/>
          <w:bCs/>
        </w:rPr>
        <w:t xml:space="preserve"> the extent of the area intended to be covered by the byelaws. </w:t>
      </w:r>
    </w:p>
    <w:p w14:paraId="585864BF" w14:textId="21A06CDA" w:rsidR="00E8459D" w:rsidRPr="00FD4A88" w:rsidRDefault="00E8459D" w:rsidP="00E14A71">
      <w:pPr>
        <w:pStyle w:val="BodyText"/>
        <w:numPr>
          <w:ilvl w:val="0"/>
          <w:numId w:val="1"/>
        </w:numPr>
        <w:tabs>
          <w:tab w:val="left" w:pos="2268"/>
        </w:tabs>
        <w:spacing w:line="360" w:lineRule="auto"/>
        <w:jc w:val="both"/>
      </w:pPr>
      <w:r>
        <w:rPr>
          <w:rFonts w:cs="Arial"/>
          <w:bCs/>
        </w:rPr>
        <w:t xml:space="preserve">Mr Gordon Lennox </w:t>
      </w:r>
      <w:r w:rsidR="003734D9">
        <w:rPr>
          <w:rFonts w:cs="Arial"/>
          <w:bCs/>
        </w:rPr>
        <w:t xml:space="preserve">also refers to a number of </w:t>
      </w:r>
      <w:r w:rsidR="00EA621D">
        <w:rPr>
          <w:rFonts w:cs="Arial"/>
          <w:bCs/>
        </w:rPr>
        <w:t xml:space="preserve">signs located around the Knowle </w:t>
      </w:r>
      <w:r w:rsidR="00A71DEF">
        <w:rPr>
          <w:rFonts w:cs="Arial"/>
          <w:bCs/>
        </w:rPr>
        <w:t xml:space="preserve">which indicate that the land is subject to byelaws. </w:t>
      </w:r>
      <w:r w:rsidR="00B46EAF">
        <w:rPr>
          <w:rFonts w:cs="Arial"/>
          <w:bCs/>
        </w:rPr>
        <w:t xml:space="preserve">He argues that had it been the intention for the byelaws to cover a smaller area then he would have expected there to be a plan or that the signage would have carried a plan showing this reduced area. </w:t>
      </w:r>
      <w:r w:rsidR="00CD35F8">
        <w:rPr>
          <w:rFonts w:cs="Arial"/>
          <w:bCs/>
        </w:rPr>
        <w:t>He contends that the whole of the site is open, with no fencing and that as such it is reasonable and appropriate to accept that the intention was for the byelaws to apply all over the Knowle.</w:t>
      </w:r>
    </w:p>
    <w:p w14:paraId="06875765" w14:textId="1F5531BB" w:rsidR="00FD4A88" w:rsidRPr="00F71FD2" w:rsidRDefault="00E17701" w:rsidP="00E27B74">
      <w:pPr>
        <w:pStyle w:val="BodyText"/>
        <w:numPr>
          <w:ilvl w:val="0"/>
          <w:numId w:val="1"/>
        </w:numPr>
        <w:spacing w:line="360" w:lineRule="auto"/>
        <w:jc w:val="both"/>
      </w:pPr>
      <w:r>
        <w:rPr>
          <w:rFonts w:cs="Arial"/>
          <w:bCs/>
        </w:rPr>
        <w:t xml:space="preserve">In oral evidence </w:t>
      </w:r>
      <w:r w:rsidR="00567ADD">
        <w:rPr>
          <w:rFonts w:cs="Arial"/>
          <w:bCs/>
        </w:rPr>
        <w:t xml:space="preserve">Mr Gordon Lennox </w:t>
      </w:r>
      <w:r w:rsidR="00FD571E">
        <w:rPr>
          <w:rFonts w:cs="Arial"/>
          <w:bCs/>
        </w:rPr>
        <w:t xml:space="preserve">clarified the position as to the footpath applications in that it had been the Objector’s stance to allow Devon County Council to defend its decision not to make a modification order. </w:t>
      </w:r>
      <w:r w:rsidR="00C44274">
        <w:rPr>
          <w:rFonts w:cs="Arial"/>
          <w:bCs/>
        </w:rPr>
        <w:t>As such, it was no</w:t>
      </w:r>
      <w:r w:rsidR="006938E0">
        <w:rPr>
          <w:rFonts w:cs="Arial"/>
          <w:bCs/>
        </w:rPr>
        <w:t>t</w:t>
      </w:r>
      <w:r w:rsidR="00C44274">
        <w:rPr>
          <w:rFonts w:cs="Arial"/>
          <w:bCs/>
        </w:rPr>
        <w:t xml:space="preserve"> clear that the issue of implicit appropriation had been raised before the Planning Inspector. However, the process of confirming the order will allow the Objector to actively oppose these applications. </w:t>
      </w:r>
      <w:r w:rsidR="00AD2C48">
        <w:rPr>
          <w:rFonts w:cs="Arial"/>
          <w:bCs/>
        </w:rPr>
        <w:t xml:space="preserve">In cross-examination </w:t>
      </w:r>
      <w:r w:rsidR="00784ADB">
        <w:rPr>
          <w:rFonts w:cs="Arial"/>
          <w:bCs/>
        </w:rPr>
        <w:t>Mr Gordon Lennox confirmed that he h</w:t>
      </w:r>
      <w:r w:rsidR="00067F23">
        <w:rPr>
          <w:rFonts w:cs="Arial"/>
          <w:bCs/>
        </w:rPr>
        <w:t>ad not had any personal involve</w:t>
      </w:r>
      <w:r w:rsidR="006437C7">
        <w:rPr>
          <w:rFonts w:cs="Arial"/>
          <w:bCs/>
        </w:rPr>
        <w:t>ment with</w:t>
      </w:r>
      <w:r w:rsidR="00F86ADC">
        <w:rPr>
          <w:rFonts w:cs="Arial"/>
          <w:bCs/>
        </w:rPr>
        <w:t xml:space="preserve"> </w:t>
      </w:r>
      <w:r w:rsidR="00784ADB">
        <w:rPr>
          <w:rFonts w:cs="Arial"/>
          <w:bCs/>
        </w:rPr>
        <w:t xml:space="preserve">the documents that he had produced to the inquiry. </w:t>
      </w:r>
    </w:p>
    <w:p w14:paraId="41648EDC" w14:textId="632EB079" w:rsidR="007D6537" w:rsidRPr="007D6537" w:rsidRDefault="00F71FD2" w:rsidP="00E27B74">
      <w:pPr>
        <w:pStyle w:val="BodyText"/>
        <w:numPr>
          <w:ilvl w:val="0"/>
          <w:numId w:val="1"/>
        </w:numPr>
        <w:spacing w:line="360" w:lineRule="auto"/>
        <w:jc w:val="both"/>
      </w:pPr>
      <w:r>
        <w:rPr>
          <w:rFonts w:cs="Arial"/>
          <w:bCs/>
        </w:rPr>
        <w:t>I found Mr Gordon Lennox to be most helpful and he has obviously diligently prepared the material he located in the Objector’s archives for the consideration of the inquiry.</w:t>
      </w:r>
      <w:r w:rsidR="00263709">
        <w:rPr>
          <w:rFonts w:cs="Arial"/>
          <w:bCs/>
        </w:rPr>
        <w:t xml:space="preserve"> </w:t>
      </w:r>
      <w:r w:rsidR="00971F11">
        <w:rPr>
          <w:rFonts w:cs="Arial"/>
          <w:bCs/>
        </w:rPr>
        <w:t xml:space="preserve">The legal effect of these documents is obviously a matter for argument. </w:t>
      </w:r>
    </w:p>
    <w:p w14:paraId="06080FBA" w14:textId="7E13A485" w:rsidR="00FD6F55" w:rsidRDefault="00FD6F55" w:rsidP="00FD6F55">
      <w:pPr>
        <w:pStyle w:val="BodyText"/>
        <w:spacing w:line="360" w:lineRule="auto"/>
        <w:jc w:val="both"/>
        <w:rPr>
          <w:rFonts w:cs="Arial"/>
          <w:b/>
          <w:bCs/>
          <w:u w:val="single"/>
        </w:rPr>
      </w:pPr>
      <w:r w:rsidRPr="00776932">
        <w:rPr>
          <w:rFonts w:cs="Arial"/>
          <w:b/>
          <w:bCs/>
          <w:u w:val="single"/>
        </w:rPr>
        <w:lastRenderedPageBreak/>
        <w:t xml:space="preserve">Witnesses </w:t>
      </w:r>
      <w:r>
        <w:rPr>
          <w:rFonts w:cs="Arial"/>
          <w:b/>
          <w:bCs/>
          <w:u w:val="single"/>
        </w:rPr>
        <w:t xml:space="preserve">not </w:t>
      </w:r>
      <w:r w:rsidRPr="00776932">
        <w:rPr>
          <w:rFonts w:cs="Arial"/>
          <w:b/>
          <w:bCs/>
          <w:u w:val="single"/>
        </w:rPr>
        <w:t>called to give evidence for the Objector</w:t>
      </w:r>
    </w:p>
    <w:p w14:paraId="1212FD73" w14:textId="3DD837DC" w:rsidR="00262D5F" w:rsidRPr="00262D5F" w:rsidRDefault="00262D5F" w:rsidP="00262D5F">
      <w:pPr>
        <w:pStyle w:val="BodyText"/>
        <w:spacing w:line="360" w:lineRule="auto"/>
        <w:jc w:val="both"/>
        <w:rPr>
          <w:rFonts w:cs="Arial"/>
          <w:bCs/>
          <w:u w:val="single"/>
        </w:rPr>
      </w:pPr>
      <w:r w:rsidRPr="00262D5F">
        <w:rPr>
          <w:rFonts w:cs="Arial"/>
          <w:bCs/>
          <w:u w:val="single"/>
        </w:rPr>
        <w:t>Sue Parkinson</w:t>
      </w:r>
    </w:p>
    <w:p w14:paraId="1D16FFE9" w14:textId="521EBB95" w:rsidR="00262D5F" w:rsidRDefault="002736FA" w:rsidP="00FD56A2">
      <w:pPr>
        <w:pStyle w:val="BodyText"/>
        <w:numPr>
          <w:ilvl w:val="0"/>
          <w:numId w:val="1"/>
        </w:numPr>
        <w:spacing w:line="360" w:lineRule="auto"/>
        <w:jc w:val="both"/>
        <w:rPr>
          <w:rFonts w:cs="Arial"/>
          <w:bCs/>
        </w:rPr>
      </w:pPr>
      <w:r>
        <w:rPr>
          <w:rFonts w:cs="Arial"/>
          <w:bCs/>
        </w:rPr>
        <w:t xml:space="preserve">Ms </w:t>
      </w:r>
      <w:r w:rsidR="00582CA2">
        <w:rPr>
          <w:rFonts w:cs="Arial"/>
          <w:bCs/>
        </w:rPr>
        <w:t xml:space="preserve">Sue </w:t>
      </w:r>
      <w:r>
        <w:rPr>
          <w:rFonts w:cs="Arial"/>
          <w:bCs/>
        </w:rPr>
        <w:t xml:space="preserve">Parkinson made a statement </w:t>
      </w:r>
      <w:r w:rsidR="00AC12D5">
        <w:rPr>
          <w:rFonts w:cs="Arial"/>
          <w:bCs/>
        </w:rPr>
        <w:t>to the inquiry but did not give oral evidence. She states that she was first employed by the Honiton Town Council but following the local government re-organisation she was transferred to the East Devon District Council from 1 April 1973, whom she continued to work for until 17 February 2014.</w:t>
      </w:r>
      <w:r w:rsidR="000E40D3">
        <w:rPr>
          <w:rFonts w:cs="Arial"/>
          <w:bCs/>
        </w:rPr>
        <w:t xml:space="preserve"> All this time she was based at the Knowle.</w:t>
      </w:r>
      <w:r w:rsidR="00AC12D5">
        <w:rPr>
          <w:rFonts w:cs="Arial"/>
          <w:bCs/>
        </w:rPr>
        <w:t xml:space="preserve"> She is now </w:t>
      </w:r>
      <w:r w:rsidR="000E40D3">
        <w:rPr>
          <w:rFonts w:cs="Arial"/>
          <w:bCs/>
        </w:rPr>
        <w:t>retired</w:t>
      </w:r>
      <w:r w:rsidR="00AC12D5">
        <w:rPr>
          <w:rFonts w:cs="Arial"/>
          <w:bCs/>
        </w:rPr>
        <w:t>.</w:t>
      </w:r>
    </w:p>
    <w:p w14:paraId="0CA821F0" w14:textId="72BCEC43" w:rsidR="000E40D3" w:rsidRPr="00FD56A2" w:rsidRDefault="00BF1959" w:rsidP="00FD56A2">
      <w:pPr>
        <w:pStyle w:val="BodyText"/>
        <w:numPr>
          <w:ilvl w:val="0"/>
          <w:numId w:val="1"/>
        </w:numPr>
        <w:spacing w:line="360" w:lineRule="auto"/>
        <w:jc w:val="both"/>
        <w:rPr>
          <w:rFonts w:cs="Arial"/>
          <w:bCs/>
        </w:rPr>
      </w:pPr>
      <w:r>
        <w:rPr>
          <w:rFonts w:cs="Arial"/>
          <w:bCs/>
        </w:rPr>
        <w:t xml:space="preserve">Her statement is a near exact repetition of the contents of Mr Capon’s </w:t>
      </w:r>
      <w:r w:rsidR="009028B0">
        <w:rPr>
          <w:rFonts w:cs="Arial"/>
          <w:bCs/>
        </w:rPr>
        <w:t xml:space="preserve">and Mrs Herbert’s </w:t>
      </w:r>
      <w:r>
        <w:rPr>
          <w:rFonts w:cs="Arial"/>
          <w:bCs/>
        </w:rPr>
        <w:t>statement</w:t>
      </w:r>
      <w:r w:rsidR="001D15D8">
        <w:rPr>
          <w:rFonts w:cs="Arial"/>
          <w:bCs/>
        </w:rPr>
        <w:t>s</w:t>
      </w:r>
      <w:r>
        <w:rPr>
          <w:rFonts w:cs="Arial"/>
          <w:bCs/>
        </w:rPr>
        <w:t xml:space="preserve">, the main points of which I have put in a bullet point list when dealing with </w:t>
      </w:r>
      <w:r w:rsidR="00722D55">
        <w:rPr>
          <w:rFonts w:cs="Arial"/>
          <w:bCs/>
        </w:rPr>
        <w:t>Mr Capon’s</w:t>
      </w:r>
      <w:r>
        <w:rPr>
          <w:rFonts w:cs="Arial"/>
          <w:bCs/>
        </w:rPr>
        <w:t xml:space="preserve"> evidence.</w:t>
      </w:r>
      <w:r w:rsidR="009028B0">
        <w:rPr>
          <w:rFonts w:cs="Arial"/>
          <w:bCs/>
        </w:rPr>
        <w:t xml:space="preserve"> </w:t>
      </w:r>
      <w:r w:rsidR="009511E8">
        <w:rPr>
          <w:rFonts w:cs="Arial"/>
          <w:bCs/>
        </w:rPr>
        <w:t xml:space="preserve">In light of this and with regard to the fact she has not been cross-examined I will disregard her evidence. </w:t>
      </w:r>
    </w:p>
    <w:p w14:paraId="5C1B0836" w14:textId="755BA48B" w:rsidR="00D305CA" w:rsidRPr="00262D5F" w:rsidRDefault="008B2F7A" w:rsidP="00D305CA">
      <w:pPr>
        <w:pStyle w:val="BodyText"/>
        <w:spacing w:line="360" w:lineRule="auto"/>
        <w:jc w:val="both"/>
        <w:rPr>
          <w:rFonts w:cs="Arial"/>
          <w:bCs/>
          <w:u w:val="single"/>
        </w:rPr>
      </w:pPr>
      <w:r>
        <w:rPr>
          <w:rFonts w:cs="Arial"/>
          <w:bCs/>
          <w:u w:val="single"/>
        </w:rPr>
        <w:t xml:space="preserve">Francis John </w:t>
      </w:r>
      <w:proofErr w:type="spellStart"/>
      <w:r>
        <w:rPr>
          <w:rFonts w:cs="Arial"/>
          <w:bCs/>
          <w:u w:val="single"/>
        </w:rPr>
        <w:t>Vallender</w:t>
      </w:r>
      <w:proofErr w:type="spellEnd"/>
    </w:p>
    <w:p w14:paraId="689DBA7C" w14:textId="723ACAF4" w:rsidR="00FD6F55" w:rsidRDefault="00582CA2" w:rsidP="00582CA2">
      <w:pPr>
        <w:pStyle w:val="BodyText"/>
        <w:numPr>
          <w:ilvl w:val="0"/>
          <w:numId w:val="1"/>
        </w:numPr>
        <w:spacing w:line="360" w:lineRule="auto"/>
        <w:jc w:val="both"/>
        <w:rPr>
          <w:rFonts w:cs="Arial"/>
          <w:bCs/>
        </w:rPr>
      </w:pPr>
      <w:r>
        <w:rPr>
          <w:rFonts w:cs="Arial"/>
          <w:bCs/>
        </w:rPr>
        <w:t xml:space="preserve">Mr </w:t>
      </w:r>
      <w:r w:rsidR="001E2D9F">
        <w:rPr>
          <w:rFonts w:cs="Arial"/>
          <w:bCs/>
        </w:rPr>
        <w:t xml:space="preserve">Francis John </w:t>
      </w:r>
      <w:proofErr w:type="spellStart"/>
      <w:r w:rsidR="001E2D9F">
        <w:rPr>
          <w:rFonts w:cs="Arial"/>
          <w:bCs/>
        </w:rPr>
        <w:t>Vallender</w:t>
      </w:r>
      <w:proofErr w:type="spellEnd"/>
      <w:r w:rsidR="001E2D9F">
        <w:rPr>
          <w:rFonts w:cs="Arial"/>
          <w:bCs/>
        </w:rPr>
        <w:t xml:space="preserve"> </w:t>
      </w:r>
      <w:r w:rsidR="00420CDF">
        <w:rPr>
          <w:rFonts w:cs="Arial"/>
          <w:bCs/>
        </w:rPr>
        <w:t xml:space="preserve">made a statement to the inquiry. He was employed by the </w:t>
      </w:r>
      <w:r w:rsidR="00DF18B0">
        <w:rPr>
          <w:rFonts w:cs="Arial"/>
          <w:bCs/>
        </w:rPr>
        <w:t>Objector</w:t>
      </w:r>
      <w:r w:rsidR="00420CDF">
        <w:rPr>
          <w:rFonts w:cs="Arial"/>
          <w:bCs/>
        </w:rPr>
        <w:t xml:space="preserve"> between August 1984 and June 2002. Between August 1988 and June 2</w:t>
      </w:r>
      <w:r w:rsidR="00A12243">
        <w:rPr>
          <w:rFonts w:cs="Arial"/>
          <w:bCs/>
        </w:rPr>
        <w:t xml:space="preserve">002 he was the Chief Executive. </w:t>
      </w:r>
    </w:p>
    <w:p w14:paraId="3C3CC74A" w14:textId="77777777" w:rsidR="000C04A7" w:rsidRDefault="004F4E87" w:rsidP="00582CA2">
      <w:pPr>
        <w:pStyle w:val="BodyText"/>
        <w:numPr>
          <w:ilvl w:val="0"/>
          <w:numId w:val="1"/>
        </w:numPr>
        <w:spacing w:line="360" w:lineRule="auto"/>
        <w:jc w:val="both"/>
        <w:rPr>
          <w:rFonts w:cs="Arial"/>
          <w:bCs/>
        </w:rPr>
      </w:pPr>
      <w:r>
        <w:rPr>
          <w:rFonts w:cs="Arial"/>
          <w:bCs/>
        </w:rPr>
        <w:t xml:space="preserve">He states in the statement that at the time the current byelaws were made by the Council he was the Chief Executive and that as far as he is concerned the byelaws apply to the whole of the Knowle grounds, at least to the extent that it comprises open land. </w:t>
      </w:r>
      <w:r w:rsidR="000C04A7">
        <w:rPr>
          <w:rFonts w:cs="Arial"/>
          <w:bCs/>
        </w:rPr>
        <w:t>He states that:</w:t>
      </w:r>
    </w:p>
    <w:p w14:paraId="3509BA25" w14:textId="53CB425A" w:rsidR="000C04A7" w:rsidRDefault="004E1474" w:rsidP="000C04A7">
      <w:pPr>
        <w:pStyle w:val="BodyText"/>
        <w:spacing w:line="360" w:lineRule="auto"/>
        <w:ind w:left="720"/>
        <w:jc w:val="both"/>
        <w:rPr>
          <w:rFonts w:cs="Arial"/>
          <w:bCs/>
          <w:i/>
        </w:rPr>
      </w:pPr>
      <w:r w:rsidRPr="000C04A7">
        <w:rPr>
          <w:rFonts w:cs="Arial"/>
          <w:bCs/>
          <w:i/>
        </w:rPr>
        <w:t>“</w:t>
      </w:r>
      <w:proofErr w:type="gramStart"/>
      <w:r w:rsidRPr="000C04A7">
        <w:rPr>
          <w:rFonts w:cs="Arial"/>
          <w:bCs/>
          <w:i/>
        </w:rPr>
        <w:t>had</w:t>
      </w:r>
      <w:proofErr w:type="gramEnd"/>
      <w:r w:rsidRPr="000C04A7">
        <w:rPr>
          <w:rFonts w:cs="Arial"/>
          <w:bCs/>
          <w:i/>
        </w:rPr>
        <w:t xml:space="preserve"> it been the intention for them to cover a smaller area then I would have expected there to be a plan to show the area they related to or for the signage to show the area which the byelaws covered. This is not the case. Moreover there is no other demarcation, for example fencing, to show where the byelaws do and do not apply.</w:t>
      </w:r>
      <w:r w:rsidR="008E4A56" w:rsidRPr="000C04A7">
        <w:rPr>
          <w:rFonts w:cs="Arial"/>
          <w:bCs/>
          <w:i/>
        </w:rPr>
        <w:t>”</w:t>
      </w:r>
    </w:p>
    <w:p w14:paraId="1DC1903E" w14:textId="36B02C31" w:rsidR="00351486" w:rsidRDefault="000C04A7" w:rsidP="00E27B74">
      <w:pPr>
        <w:pStyle w:val="BodyText"/>
        <w:numPr>
          <w:ilvl w:val="0"/>
          <w:numId w:val="1"/>
        </w:numPr>
        <w:spacing w:line="360" w:lineRule="auto"/>
        <w:jc w:val="both"/>
        <w:rPr>
          <w:rFonts w:cs="Arial"/>
          <w:bCs/>
        </w:rPr>
      </w:pPr>
      <w:r>
        <w:rPr>
          <w:rFonts w:cs="Arial"/>
          <w:bCs/>
        </w:rPr>
        <w:t xml:space="preserve">Mr </w:t>
      </w:r>
      <w:proofErr w:type="spellStart"/>
      <w:r>
        <w:rPr>
          <w:rFonts w:cs="Arial"/>
          <w:bCs/>
        </w:rPr>
        <w:t>Vallender</w:t>
      </w:r>
      <w:proofErr w:type="spellEnd"/>
      <w:r>
        <w:rPr>
          <w:rFonts w:cs="Arial"/>
          <w:bCs/>
        </w:rPr>
        <w:t xml:space="preserve"> was not cross-examined as he did not give oral evidence and I do not think it would be right to give his evidence much weight. I note the points that he makes about the byelaws, they are really points of argument. </w:t>
      </w:r>
    </w:p>
    <w:p w14:paraId="1F9C3390" w14:textId="77777777" w:rsidR="00A96DF1" w:rsidRPr="00A96DF1" w:rsidRDefault="00A96DF1" w:rsidP="00A96DF1">
      <w:pPr>
        <w:pStyle w:val="BodyText"/>
        <w:spacing w:line="360" w:lineRule="auto"/>
        <w:jc w:val="both"/>
        <w:rPr>
          <w:rFonts w:cs="Arial"/>
          <w:bCs/>
        </w:rPr>
      </w:pPr>
    </w:p>
    <w:p w14:paraId="68786E28" w14:textId="6F26D616" w:rsidR="00E27B74" w:rsidRDefault="00E27B74" w:rsidP="00E27B74">
      <w:pPr>
        <w:pStyle w:val="BodyText"/>
        <w:spacing w:line="360" w:lineRule="auto"/>
        <w:jc w:val="both"/>
        <w:rPr>
          <w:b/>
        </w:rPr>
      </w:pPr>
      <w:r>
        <w:rPr>
          <w:b/>
        </w:rPr>
        <w:lastRenderedPageBreak/>
        <w:t>FINDINGS OF FACT</w:t>
      </w:r>
    </w:p>
    <w:p w14:paraId="1F9887F6" w14:textId="6AD2EFC5" w:rsidR="00402939" w:rsidRPr="00EF095A" w:rsidRDefault="006550AD" w:rsidP="00402939">
      <w:pPr>
        <w:pStyle w:val="BodyText"/>
        <w:numPr>
          <w:ilvl w:val="0"/>
          <w:numId w:val="1"/>
        </w:numPr>
        <w:spacing w:line="360" w:lineRule="auto"/>
        <w:jc w:val="both"/>
      </w:pPr>
      <w:r>
        <w:rPr>
          <w:rFonts w:cs="Arial"/>
          <w:bCs/>
        </w:rPr>
        <w:t xml:space="preserve">The findings of fact that it is necessary for me to make in this case are not extensive. However, as is so often the case, it was not until the inquiry itself that the evidence </w:t>
      </w:r>
      <w:r w:rsidR="005D1F82">
        <w:rPr>
          <w:rFonts w:cs="Arial"/>
          <w:bCs/>
        </w:rPr>
        <w:t>became at all clear</w:t>
      </w:r>
      <w:r>
        <w:rPr>
          <w:rFonts w:cs="Arial"/>
          <w:bCs/>
        </w:rPr>
        <w:t xml:space="preserve">. </w:t>
      </w:r>
      <w:r w:rsidR="003350A4">
        <w:rPr>
          <w:rFonts w:cs="Arial"/>
          <w:bCs/>
        </w:rPr>
        <w:t xml:space="preserve">I should add that </w:t>
      </w:r>
      <w:r w:rsidR="00D6475A">
        <w:rPr>
          <w:rFonts w:cs="Arial"/>
          <w:bCs/>
        </w:rPr>
        <w:t>in coming to these findings I have applied</w:t>
      </w:r>
      <w:r w:rsidR="008128CF">
        <w:rPr>
          <w:rFonts w:cs="Arial"/>
          <w:bCs/>
        </w:rPr>
        <w:t>, where necessary,</w:t>
      </w:r>
      <w:r w:rsidR="00D6475A">
        <w:rPr>
          <w:rFonts w:cs="Arial"/>
          <w:bCs/>
        </w:rPr>
        <w:t xml:space="preserve"> the normal civil standard: on the balance of probabilities. </w:t>
      </w:r>
    </w:p>
    <w:p w14:paraId="7953766D" w14:textId="4204B4EB" w:rsidR="00EF095A" w:rsidRPr="00906C15" w:rsidRDefault="00EF095A" w:rsidP="00402939">
      <w:pPr>
        <w:pStyle w:val="BodyText"/>
        <w:numPr>
          <w:ilvl w:val="0"/>
          <w:numId w:val="1"/>
        </w:numPr>
        <w:spacing w:line="360" w:lineRule="auto"/>
        <w:jc w:val="both"/>
      </w:pPr>
      <w:r>
        <w:rPr>
          <w:rFonts w:cs="Arial"/>
          <w:bCs/>
        </w:rPr>
        <w:t>First, I find that the Objector took an express decision to appropriate the large majority of the Knowle in 1973 to the purpose</w:t>
      </w:r>
      <w:r w:rsidR="007633A1">
        <w:rPr>
          <w:rFonts w:cs="Arial"/>
          <w:bCs/>
        </w:rPr>
        <w:t>s</w:t>
      </w:r>
      <w:r>
        <w:rPr>
          <w:rFonts w:cs="Arial"/>
          <w:bCs/>
        </w:rPr>
        <w:t xml:space="preserve"> of the Public Health Act 1875 but that, as per the plan presented to the inquiry, </w:t>
      </w:r>
      <w:r w:rsidR="001F15BC">
        <w:rPr>
          <w:rFonts w:cs="Arial"/>
          <w:bCs/>
        </w:rPr>
        <w:t>large parts of it remained un</w:t>
      </w:r>
      <w:r w:rsidR="00906C15">
        <w:rPr>
          <w:rFonts w:cs="Arial"/>
          <w:bCs/>
        </w:rPr>
        <w:t>-</w:t>
      </w:r>
      <w:r w:rsidR="001F15BC">
        <w:rPr>
          <w:rFonts w:cs="Arial"/>
          <w:bCs/>
        </w:rPr>
        <w:t xml:space="preserve">appropriated. </w:t>
      </w:r>
    </w:p>
    <w:p w14:paraId="3D2247FF" w14:textId="1A1999C6" w:rsidR="004603BA" w:rsidRPr="004603BA" w:rsidRDefault="00680DFF" w:rsidP="00402939">
      <w:pPr>
        <w:pStyle w:val="BodyText"/>
        <w:numPr>
          <w:ilvl w:val="0"/>
          <w:numId w:val="1"/>
        </w:numPr>
        <w:spacing w:line="360" w:lineRule="auto"/>
        <w:jc w:val="both"/>
      </w:pPr>
      <w:r>
        <w:rPr>
          <w:rFonts w:cs="Arial"/>
          <w:bCs/>
        </w:rPr>
        <w:t xml:space="preserve">Second, </w:t>
      </w:r>
      <w:r w:rsidR="004603BA">
        <w:rPr>
          <w:rFonts w:cs="Arial"/>
          <w:bCs/>
        </w:rPr>
        <w:t>I a</w:t>
      </w:r>
      <w:r w:rsidR="003D7C62">
        <w:rPr>
          <w:rFonts w:cs="Arial"/>
          <w:bCs/>
        </w:rPr>
        <w:t xml:space="preserve">ccept the Applicant’s evidence, </w:t>
      </w:r>
      <w:r w:rsidR="004603BA">
        <w:rPr>
          <w:rFonts w:cs="Arial"/>
          <w:bCs/>
        </w:rPr>
        <w:t>which also concurred with the Objector’s</w:t>
      </w:r>
      <w:r w:rsidR="003C534C">
        <w:rPr>
          <w:rFonts w:cs="Arial"/>
          <w:bCs/>
        </w:rPr>
        <w:t xml:space="preserve"> evidence</w:t>
      </w:r>
      <w:r w:rsidR="004603BA">
        <w:rPr>
          <w:rFonts w:cs="Arial"/>
          <w:bCs/>
        </w:rPr>
        <w:t>, that</w:t>
      </w:r>
      <w:r w:rsidR="00F50C5D">
        <w:rPr>
          <w:rFonts w:cs="Arial"/>
          <w:bCs/>
        </w:rPr>
        <w:t xml:space="preserve"> “the Knowle” is the commonl</w:t>
      </w:r>
      <w:r w:rsidR="000A7F1E">
        <w:rPr>
          <w:rFonts w:cs="Arial"/>
          <w:bCs/>
        </w:rPr>
        <w:t xml:space="preserve">y used name in Sidmouth to describe </w:t>
      </w:r>
      <w:r w:rsidR="00B1602B">
        <w:rPr>
          <w:rFonts w:cs="Arial"/>
          <w:bCs/>
        </w:rPr>
        <w:t xml:space="preserve">the full extent of </w:t>
      </w:r>
      <w:r w:rsidR="00E71CF1">
        <w:rPr>
          <w:rFonts w:cs="Arial"/>
          <w:bCs/>
        </w:rPr>
        <w:t>the grounds</w:t>
      </w:r>
      <w:r w:rsidR="00EE5981">
        <w:rPr>
          <w:rFonts w:cs="Arial"/>
          <w:bCs/>
        </w:rPr>
        <w:t xml:space="preserve"> (not just that section subject to the village green application)</w:t>
      </w:r>
      <w:r w:rsidR="00B1602B">
        <w:rPr>
          <w:rFonts w:cs="Arial"/>
          <w:bCs/>
        </w:rPr>
        <w:t xml:space="preserve"> without qualification. </w:t>
      </w:r>
      <w:r w:rsidR="004603BA">
        <w:rPr>
          <w:rFonts w:cs="Arial"/>
          <w:bCs/>
        </w:rPr>
        <w:t xml:space="preserve"> </w:t>
      </w:r>
    </w:p>
    <w:p w14:paraId="4412B33B" w14:textId="0771BCD4" w:rsidR="002B5AE9" w:rsidRPr="000853DF" w:rsidRDefault="00692A11" w:rsidP="002B5AE9">
      <w:pPr>
        <w:pStyle w:val="BodyText"/>
        <w:numPr>
          <w:ilvl w:val="0"/>
          <w:numId w:val="1"/>
        </w:numPr>
        <w:spacing w:line="360" w:lineRule="auto"/>
        <w:jc w:val="both"/>
      </w:pPr>
      <w:r>
        <w:rPr>
          <w:rFonts w:cs="Arial"/>
          <w:bCs/>
        </w:rPr>
        <w:t>Third, I</w:t>
      </w:r>
      <w:r w:rsidR="002B5AE9">
        <w:rPr>
          <w:rFonts w:cs="Arial"/>
          <w:bCs/>
        </w:rPr>
        <w:t xml:space="preserve">t appeared to me that there was some attempt to distinguish between the different areas of the Knowle in the Objector’s evidence when the following phrase was used </w:t>
      </w:r>
      <w:r w:rsidR="00447325">
        <w:rPr>
          <w:rFonts w:cs="Arial"/>
          <w:bCs/>
        </w:rPr>
        <w:t>i</w:t>
      </w:r>
      <w:r w:rsidR="002B5AE9">
        <w:rPr>
          <w:rFonts w:cs="Arial"/>
          <w:bCs/>
        </w:rPr>
        <w:t xml:space="preserve">n respect </w:t>
      </w:r>
      <w:r w:rsidR="000853DF">
        <w:rPr>
          <w:rFonts w:cs="Arial"/>
          <w:bCs/>
        </w:rPr>
        <w:t>of some of the</w:t>
      </w:r>
      <w:r w:rsidR="002B5AE9">
        <w:rPr>
          <w:rFonts w:cs="Arial"/>
          <w:bCs/>
        </w:rPr>
        <w:t xml:space="preserve"> areas not appropriated in 1973</w:t>
      </w:r>
      <w:r w:rsidR="00F40220">
        <w:rPr>
          <w:rFonts w:cs="Arial"/>
          <w:bCs/>
        </w:rPr>
        <w:t>:</w:t>
      </w:r>
    </w:p>
    <w:p w14:paraId="77C68A97" w14:textId="472E53E0" w:rsidR="002B5AE9" w:rsidRPr="00AC75CE" w:rsidRDefault="000853DF" w:rsidP="000853DF">
      <w:pPr>
        <w:pStyle w:val="BodyText"/>
        <w:spacing w:line="360" w:lineRule="auto"/>
        <w:ind w:left="720"/>
        <w:jc w:val="both"/>
        <w:rPr>
          <w:i/>
        </w:rPr>
      </w:pPr>
      <w:r w:rsidRPr="00AC75CE">
        <w:rPr>
          <w:rFonts w:cs="Arial"/>
          <w:bCs/>
          <w:i/>
        </w:rPr>
        <w:t xml:space="preserve">“To the best of my knowledge and belief the areas coloured orange have always simply appeared and been treated </w:t>
      </w:r>
      <w:r w:rsidR="002B5AE9" w:rsidRPr="00AC75CE">
        <w:rPr>
          <w:rFonts w:cs="Arial"/>
          <w:bCs/>
          <w:i/>
        </w:rPr>
        <w:t>as part and parcel of the ground</w:t>
      </w:r>
      <w:r w:rsidR="006C497C">
        <w:rPr>
          <w:rFonts w:cs="Arial"/>
          <w:bCs/>
          <w:i/>
        </w:rPr>
        <w:t>s</w:t>
      </w:r>
      <w:r w:rsidR="002B5AE9" w:rsidRPr="00AC75CE">
        <w:rPr>
          <w:rFonts w:cs="Arial"/>
          <w:bCs/>
          <w:i/>
        </w:rPr>
        <w:t xml:space="preserve"> specifically associated with the office buildings on sit</w:t>
      </w:r>
      <w:r w:rsidR="00216976">
        <w:rPr>
          <w:rFonts w:cs="Arial"/>
          <w:bCs/>
          <w:i/>
        </w:rPr>
        <w:t>e (being internal roads, footpaths, car parks or landscaped areas)</w:t>
      </w:r>
      <w:r w:rsidR="004331C1">
        <w:rPr>
          <w:rFonts w:cs="Arial"/>
          <w:bCs/>
          <w:i/>
        </w:rPr>
        <w:t xml:space="preserve">… </w:t>
      </w:r>
      <w:r w:rsidR="00167B1A" w:rsidRPr="00AC75CE">
        <w:rPr>
          <w:rFonts w:cs="Arial"/>
          <w:bCs/>
          <w:i/>
        </w:rPr>
        <w:t xml:space="preserve"> rather than part of the </w:t>
      </w:r>
      <w:r w:rsidR="002B5AE9" w:rsidRPr="00AC75CE">
        <w:rPr>
          <w:rFonts w:cs="Arial"/>
          <w:bCs/>
          <w:i/>
        </w:rPr>
        <w:t>open parkland setting at the Knowle.”</w:t>
      </w:r>
    </w:p>
    <w:p w14:paraId="540901ED" w14:textId="64BF1CAE" w:rsidR="00E27B74" w:rsidRDefault="007F12EE" w:rsidP="006B12CE">
      <w:pPr>
        <w:pStyle w:val="BodyText"/>
        <w:numPr>
          <w:ilvl w:val="0"/>
          <w:numId w:val="1"/>
        </w:numPr>
        <w:spacing w:line="360" w:lineRule="auto"/>
        <w:jc w:val="both"/>
        <w:rPr>
          <w:rFonts w:cs="Arial"/>
          <w:bCs/>
        </w:rPr>
      </w:pPr>
      <w:r>
        <w:rPr>
          <w:rFonts w:cs="Arial"/>
          <w:bCs/>
        </w:rPr>
        <w:t xml:space="preserve">I cannot </w:t>
      </w:r>
      <w:r w:rsidR="00161994">
        <w:rPr>
          <w:rFonts w:cs="Arial"/>
          <w:bCs/>
        </w:rPr>
        <w:t xml:space="preserve">blandly </w:t>
      </w:r>
      <w:r>
        <w:rPr>
          <w:rFonts w:cs="Arial"/>
          <w:bCs/>
        </w:rPr>
        <w:t xml:space="preserve">accept this evidence </w:t>
      </w:r>
      <w:r w:rsidR="004F69E3">
        <w:rPr>
          <w:rFonts w:cs="Arial"/>
          <w:bCs/>
        </w:rPr>
        <w:t xml:space="preserve">and have already expressed my caution about approaching the evidence tendered by the Objector’s witnesses. </w:t>
      </w:r>
      <w:r w:rsidR="00604AAC">
        <w:rPr>
          <w:rFonts w:cs="Arial"/>
          <w:bCs/>
        </w:rPr>
        <w:t>I prefer the evidence of the Applicant</w:t>
      </w:r>
      <w:r w:rsidR="00D20F8C">
        <w:rPr>
          <w:rFonts w:cs="Arial"/>
          <w:bCs/>
        </w:rPr>
        <w:t xml:space="preserve"> who did not seek to make any artificial distinction between different parts of the land. For example, Mr Temple was clear that “</w:t>
      </w:r>
      <w:r w:rsidR="00D20F8C">
        <w:rPr>
          <w:rFonts w:cs="Arial"/>
          <w:bCs/>
          <w:i/>
        </w:rPr>
        <w:t xml:space="preserve">everybody understands that the upper lawns are part of the park.” </w:t>
      </w:r>
    </w:p>
    <w:p w14:paraId="29999FEC" w14:textId="253EF211" w:rsidR="00D20F8C" w:rsidRDefault="00D20F8C" w:rsidP="006B12CE">
      <w:pPr>
        <w:pStyle w:val="BodyText"/>
        <w:numPr>
          <w:ilvl w:val="0"/>
          <w:numId w:val="1"/>
        </w:numPr>
        <w:spacing w:line="360" w:lineRule="auto"/>
        <w:jc w:val="both"/>
        <w:rPr>
          <w:rFonts w:cs="Arial"/>
          <w:bCs/>
        </w:rPr>
      </w:pPr>
      <w:r>
        <w:rPr>
          <w:rFonts w:cs="Arial"/>
          <w:bCs/>
        </w:rPr>
        <w:t xml:space="preserve">Equally, I have accepted the </w:t>
      </w:r>
      <w:r w:rsidR="00BD740B">
        <w:rPr>
          <w:rFonts w:cs="Arial"/>
          <w:bCs/>
        </w:rPr>
        <w:t>unhesitant</w:t>
      </w:r>
      <w:r w:rsidR="00C4509C">
        <w:rPr>
          <w:rFonts w:cs="Arial"/>
          <w:bCs/>
        </w:rPr>
        <w:t>, categorical</w:t>
      </w:r>
      <w:r w:rsidR="00BD740B">
        <w:rPr>
          <w:rFonts w:cs="Arial"/>
          <w:bCs/>
        </w:rPr>
        <w:t xml:space="preserve"> </w:t>
      </w:r>
      <w:r>
        <w:rPr>
          <w:rFonts w:cs="Arial"/>
          <w:bCs/>
        </w:rPr>
        <w:t>evidence</w:t>
      </w:r>
      <w:r w:rsidR="00383DB5">
        <w:rPr>
          <w:rFonts w:cs="Arial"/>
          <w:bCs/>
        </w:rPr>
        <w:t xml:space="preserve"> that was orally given by t</w:t>
      </w:r>
      <w:r>
        <w:rPr>
          <w:rFonts w:cs="Arial"/>
          <w:bCs/>
        </w:rPr>
        <w:t xml:space="preserve">he two Objector witnesses to the extent that they told the inquiry </w:t>
      </w:r>
      <w:r w:rsidR="003338B8">
        <w:rPr>
          <w:rFonts w:cs="Arial"/>
          <w:bCs/>
        </w:rPr>
        <w:t>that they would tell other people that they worked at “</w:t>
      </w:r>
      <w:r w:rsidR="003338B8" w:rsidRPr="00AE487F">
        <w:rPr>
          <w:rFonts w:cs="Arial"/>
          <w:bCs/>
          <w:i/>
        </w:rPr>
        <w:t xml:space="preserve">the Knowle.” </w:t>
      </w:r>
    </w:p>
    <w:p w14:paraId="74D522F1" w14:textId="5F17E175" w:rsidR="00E45B1F" w:rsidRDefault="00E45B1F" w:rsidP="006B12CE">
      <w:pPr>
        <w:pStyle w:val="BodyText"/>
        <w:numPr>
          <w:ilvl w:val="0"/>
          <w:numId w:val="1"/>
        </w:numPr>
        <w:spacing w:line="360" w:lineRule="auto"/>
        <w:jc w:val="both"/>
        <w:rPr>
          <w:rFonts w:cs="Arial"/>
          <w:bCs/>
        </w:rPr>
      </w:pPr>
      <w:r>
        <w:rPr>
          <w:rFonts w:cs="Arial"/>
          <w:bCs/>
        </w:rPr>
        <w:t xml:space="preserve">In light of the above, I find that </w:t>
      </w:r>
      <w:r w:rsidR="009576B8">
        <w:rPr>
          <w:rFonts w:cs="Arial"/>
          <w:bCs/>
        </w:rPr>
        <w:t xml:space="preserve">“the Knowle” </w:t>
      </w:r>
      <w:r w:rsidR="00BE5E5C">
        <w:rPr>
          <w:rFonts w:cs="Arial"/>
          <w:bCs/>
        </w:rPr>
        <w:t xml:space="preserve">or “Knowle” </w:t>
      </w:r>
      <w:r w:rsidR="009576B8">
        <w:rPr>
          <w:rFonts w:cs="Arial"/>
          <w:bCs/>
        </w:rPr>
        <w:t xml:space="preserve">is the name for the entirety </w:t>
      </w:r>
      <w:r w:rsidR="00345599">
        <w:rPr>
          <w:rFonts w:cs="Arial"/>
          <w:bCs/>
        </w:rPr>
        <w:t>of the land, including the office buildings</w:t>
      </w:r>
      <w:r w:rsidR="00ED2336">
        <w:rPr>
          <w:rFonts w:cs="Arial"/>
          <w:bCs/>
        </w:rPr>
        <w:t>, car parks and hard surfaced areas</w:t>
      </w:r>
      <w:r w:rsidR="00345599">
        <w:rPr>
          <w:rFonts w:cs="Arial"/>
          <w:bCs/>
        </w:rPr>
        <w:t xml:space="preserve">. </w:t>
      </w:r>
      <w:r w:rsidR="00457418">
        <w:rPr>
          <w:rFonts w:cs="Arial"/>
          <w:bCs/>
        </w:rPr>
        <w:t xml:space="preserve">It might be possible to speak </w:t>
      </w:r>
      <w:r w:rsidR="0017702B">
        <w:rPr>
          <w:rFonts w:cs="Arial"/>
          <w:bCs/>
        </w:rPr>
        <w:t xml:space="preserve">of “the Knowle” as workplace or as a park but this would only appear </w:t>
      </w:r>
      <w:r w:rsidR="0017702B">
        <w:rPr>
          <w:rFonts w:cs="Arial"/>
          <w:bCs/>
        </w:rPr>
        <w:lastRenderedPageBreak/>
        <w:t xml:space="preserve">from context and I do not think that it would change the fundamental definition as being, I find, </w:t>
      </w:r>
      <w:r w:rsidR="003C2D2C">
        <w:rPr>
          <w:rFonts w:cs="Arial"/>
          <w:bCs/>
        </w:rPr>
        <w:t>commonly understood in Sidmouth as refe</w:t>
      </w:r>
      <w:r w:rsidR="004301BA">
        <w:rPr>
          <w:rFonts w:cs="Arial"/>
          <w:bCs/>
        </w:rPr>
        <w:t>rring to the whole of the land.</w:t>
      </w:r>
      <w:r w:rsidR="001F1A18">
        <w:rPr>
          <w:rFonts w:cs="Arial"/>
          <w:bCs/>
        </w:rPr>
        <w:t xml:space="preserve"> There is no proper basis, in my opinion, for breaking “the Knowle” down into pieces.</w:t>
      </w:r>
      <w:r w:rsidR="004301BA">
        <w:rPr>
          <w:rFonts w:cs="Arial"/>
          <w:bCs/>
        </w:rPr>
        <w:t xml:space="preserve"> </w:t>
      </w:r>
    </w:p>
    <w:p w14:paraId="681C8FFC" w14:textId="4A64BD77" w:rsidR="00127074" w:rsidRPr="006B12CE" w:rsidRDefault="00127074" w:rsidP="006B12CE">
      <w:pPr>
        <w:pStyle w:val="BodyText"/>
        <w:numPr>
          <w:ilvl w:val="0"/>
          <w:numId w:val="1"/>
        </w:numPr>
        <w:spacing w:line="360" w:lineRule="auto"/>
        <w:jc w:val="both"/>
        <w:rPr>
          <w:rFonts w:cs="Arial"/>
          <w:bCs/>
        </w:rPr>
      </w:pPr>
      <w:r>
        <w:rPr>
          <w:rFonts w:cs="Arial"/>
          <w:bCs/>
        </w:rPr>
        <w:t xml:space="preserve">I further find, on the basis of the unchallenged evidence, that byelaws were validly imposed over the land described as </w:t>
      </w:r>
      <w:r w:rsidR="00FA5BC6">
        <w:rPr>
          <w:rFonts w:cs="Arial"/>
          <w:bCs/>
        </w:rPr>
        <w:t xml:space="preserve">“Knowle, Sidmouth” </w:t>
      </w:r>
      <w:r>
        <w:rPr>
          <w:rFonts w:cs="Arial"/>
          <w:bCs/>
        </w:rPr>
        <w:t xml:space="preserve">in 1984 and </w:t>
      </w:r>
      <w:r w:rsidR="00670311">
        <w:rPr>
          <w:rFonts w:cs="Arial"/>
          <w:bCs/>
        </w:rPr>
        <w:t xml:space="preserve">again </w:t>
      </w:r>
      <w:r>
        <w:rPr>
          <w:rFonts w:cs="Arial"/>
          <w:bCs/>
        </w:rPr>
        <w:t xml:space="preserve">1996. </w:t>
      </w:r>
      <w:r w:rsidR="00C95DCB">
        <w:rPr>
          <w:rFonts w:cs="Arial"/>
          <w:bCs/>
        </w:rPr>
        <w:t xml:space="preserve">Those byelaws were imposed, in the first instance, expressly with reference to </w:t>
      </w:r>
      <w:r w:rsidR="00522149">
        <w:rPr>
          <w:rFonts w:cs="Arial"/>
          <w:bCs/>
        </w:rPr>
        <w:t xml:space="preserve">and pursuant to </w:t>
      </w:r>
      <w:r w:rsidR="00DF1DF2">
        <w:rPr>
          <w:rFonts w:cs="Arial"/>
          <w:bCs/>
        </w:rPr>
        <w:t>s.164</w:t>
      </w:r>
      <w:r w:rsidR="00C95DCB">
        <w:rPr>
          <w:rFonts w:cs="Arial"/>
          <w:bCs/>
        </w:rPr>
        <w:t xml:space="preserve"> Public Health Act 1875.</w:t>
      </w:r>
    </w:p>
    <w:p w14:paraId="161BA947" w14:textId="0CFFD784" w:rsidR="00171126" w:rsidRPr="00171126" w:rsidRDefault="001F491A" w:rsidP="002F4EB2">
      <w:pPr>
        <w:pStyle w:val="BodyText"/>
        <w:spacing w:line="360" w:lineRule="auto"/>
        <w:jc w:val="both"/>
        <w:rPr>
          <w:rFonts w:cs="Arial"/>
          <w:b/>
          <w:bCs/>
        </w:rPr>
      </w:pPr>
      <w:r>
        <w:rPr>
          <w:rFonts w:cs="Arial"/>
          <w:b/>
          <w:bCs/>
        </w:rPr>
        <w:t>LAW &amp; ANALYSIS</w:t>
      </w:r>
    </w:p>
    <w:p w14:paraId="6691367F" w14:textId="03ED814A" w:rsidR="002F4EB2" w:rsidRPr="00AC7F49" w:rsidRDefault="00410CD4" w:rsidP="002F4EB2">
      <w:pPr>
        <w:pStyle w:val="BodyText"/>
        <w:spacing w:line="360" w:lineRule="auto"/>
        <w:jc w:val="both"/>
        <w:rPr>
          <w:rFonts w:cs="Arial"/>
          <w:b/>
          <w:bCs/>
          <w:u w:val="single"/>
        </w:rPr>
      </w:pPr>
      <w:r>
        <w:rPr>
          <w:rFonts w:cs="Arial"/>
          <w:b/>
          <w:bCs/>
          <w:u w:val="single"/>
        </w:rPr>
        <w:t>The 1973 appropriation</w:t>
      </w:r>
    </w:p>
    <w:p w14:paraId="59AEA0E5" w14:textId="6F1A4D3E" w:rsidR="00526725" w:rsidRPr="00AE408E" w:rsidRDefault="00526725" w:rsidP="00526725">
      <w:pPr>
        <w:pStyle w:val="BodyText"/>
        <w:numPr>
          <w:ilvl w:val="0"/>
          <w:numId w:val="1"/>
        </w:numPr>
        <w:spacing w:line="360" w:lineRule="auto"/>
        <w:jc w:val="both"/>
      </w:pPr>
      <w:r>
        <w:rPr>
          <w:rFonts w:cs="Arial"/>
          <w:bCs/>
        </w:rPr>
        <w:t xml:space="preserve">As matters turned out, </w:t>
      </w:r>
      <w:r w:rsidR="007927AB">
        <w:rPr>
          <w:rFonts w:cs="Arial"/>
          <w:bCs/>
        </w:rPr>
        <w:t xml:space="preserve">the central issue on which I now advise the Registration Authority is whether those areas of the Knowle that were not </w:t>
      </w:r>
      <w:r w:rsidR="00CA410C">
        <w:rPr>
          <w:rFonts w:cs="Arial"/>
          <w:bCs/>
        </w:rPr>
        <w:t xml:space="preserve">expressly </w:t>
      </w:r>
      <w:r w:rsidR="007927AB">
        <w:rPr>
          <w:rFonts w:cs="Arial"/>
          <w:bCs/>
        </w:rPr>
        <w:t xml:space="preserve">appropriated in 1973 and which the Applicant maintains its application in </w:t>
      </w:r>
      <w:r w:rsidR="0088697C">
        <w:rPr>
          <w:rFonts w:cs="Arial"/>
          <w:bCs/>
        </w:rPr>
        <w:t>respect of, where subsequently appropriated</w:t>
      </w:r>
      <w:r w:rsidR="007927AB">
        <w:rPr>
          <w:rFonts w:cs="Arial"/>
          <w:bCs/>
        </w:rPr>
        <w:t xml:space="preserve"> so as to render the use of those areas </w:t>
      </w:r>
      <w:r w:rsidR="007927AB">
        <w:rPr>
          <w:rFonts w:cs="Arial"/>
          <w:bCs/>
          <w:i/>
        </w:rPr>
        <w:t>by right</w:t>
      </w:r>
      <w:r w:rsidR="007927AB">
        <w:rPr>
          <w:rFonts w:cs="Arial"/>
          <w:bCs/>
        </w:rPr>
        <w:t xml:space="preserve">. </w:t>
      </w:r>
    </w:p>
    <w:p w14:paraId="4A02B166" w14:textId="1BDEF1CA" w:rsidR="00A40621" w:rsidRPr="00A40621" w:rsidRDefault="00AE408E" w:rsidP="00A40621">
      <w:pPr>
        <w:pStyle w:val="BodyText"/>
        <w:numPr>
          <w:ilvl w:val="0"/>
          <w:numId w:val="1"/>
        </w:numPr>
        <w:spacing w:line="360" w:lineRule="auto"/>
        <w:jc w:val="both"/>
        <w:rPr>
          <w:rFonts w:cs="Arial"/>
          <w:bCs/>
          <w:i/>
        </w:rPr>
      </w:pPr>
      <w:r>
        <w:rPr>
          <w:rFonts w:cs="Arial"/>
          <w:bCs/>
        </w:rPr>
        <w:t xml:space="preserve">As above, I have found that prior to the formal appropriation in 1973 </w:t>
      </w:r>
      <w:r w:rsidR="00DF7412">
        <w:rPr>
          <w:rFonts w:cs="Arial"/>
          <w:bCs/>
        </w:rPr>
        <w:t xml:space="preserve">the entirety of the Knowle was held under the provisions </w:t>
      </w:r>
      <w:r w:rsidR="00BC4205">
        <w:rPr>
          <w:rFonts w:cs="Arial"/>
          <w:bCs/>
        </w:rPr>
        <w:t>of s.125 of the Local Government Act 1933 and that subsequent to that quite deliberate and careful appropriation, the areas not within the areas shown by the appropriation plan</w:t>
      </w:r>
      <w:r w:rsidR="004B2927">
        <w:rPr>
          <w:rFonts w:cs="Arial"/>
          <w:bCs/>
        </w:rPr>
        <w:t xml:space="preserve"> referred to in the minutes</w:t>
      </w:r>
      <w:r w:rsidR="00BC4205">
        <w:rPr>
          <w:rFonts w:cs="Arial"/>
          <w:bCs/>
        </w:rPr>
        <w:t xml:space="preserve">, remained held </w:t>
      </w:r>
      <w:r w:rsidR="002A1DF1">
        <w:rPr>
          <w:rFonts w:cs="Arial"/>
          <w:bCs/>
        </w:rPr>
        <w:t>for the purposes of s.125 of the 1933 Act.</w:t>
      </w:r>
      <w:r w:rsidR="00670C8C">
        <w:rPr>
          <w:rFonts w:cs="Arial"/>
          <w:bCs/>
        </w:rPr>
        <w:t xml:space="preserve"> That provision provided as follows:</w:t>
      </w:r>
      <w:r w:rsidR="00A40621">
        <w:rPr>
          <w:rFonts w:cs="Arial"/>
          <w:bCs/>
        </w:rPr>
        <w:t xml:space="preserve"> </w:t>
      </w:r>
    </w:p>
    <w:p w14:paraId="3DE83070" w14:textId="645C69AC" w:rsidR="00A40621" w:rsidRPr="00A40621" w:rsidRDefault="00A40621" w:rsidP="00A40621">
      <w:pPr>
        <w:pStyle w:val="BodyText"/>
        <w:spacing w:line="360" w:lineRule="auto"/>
        <w:ind w:left="720"/>
        <w:jc w:val="both"/>
        <w:rPr>
          <w:rFonts w:cs="Arial"/>
          <w:bCs/>
          <w:i/>
        </w:rPr>
      </w:pPr>
      <w:r w:rsidRPr="00A40621">
        <w:rPr>
          <w:rFonts w:cs="Arial"/>
          <w:bCs/>
          <w:i/>
        </w:rPr>
        <w:t>“(1) A local authority, other than a parish council, may acquire or provide and furnish halls, offices and other buildings, whether within or without the area of the local authority, to be used for the purpose of transacting the business of the local authority and for public meetings and assemblies.</w:t>
      </w:r>
    </w:p>
    <w:p w14:paraId="0F970139" w14:textId="77777777" w:rsidR="00A40621" w:rsidRPr="00A40621" w:rsidRDefault="00A40621" w:rsidP="00A40621">
      <w:pPr>
        <w:pStyle w:val="BodyText"/>
        <w:spacing w:line="360" w:lineRule="auto"/>
        <w:ind w:left="720"/>
        <w:rPr>
          <w:rFonts w:cs="Arial"/>
          <w:bCs/>
          <w:i/>
        </w:rPr>
      </w:pPr>
      <w:r w:rsidRPr="00A40621">
        <w:rPr>
          <w:rFonts w:cs="Arial"/>
          <w:bCs/>
          <w:i/>
        </w:rPr>
        <w:t>(2) Any such local authority may be authorised to purchase land compulsorily for the purpose of providing any such halls, offices or buildings.”</w:t>
      </w:r>
    </w:p>
    <w:p w14:paraId="4E2022CC" w14:textId="15DAA102" w:rsidR="00A40621" w:rsidRPr="00047727" w:rsidRDefault="00742699" w:rsidP="00A40621">
      <w:pPr>
        <w:pStyle w:val="BodyText"/>
        <w:numPr>
          <w:ilvl w:val="0"/>
          <w:numId w:val="1"/>
        </w:numPr>
        <w:spacing w:line="360" w:lineRule="auto"/>
        <w:jc w:val="both"/>
      </w:pPr>
      <w:r>
        <w:t xml:space="preserve">In my view this provision clearly has nothing to do with recreation and does not </w:t>
      </w:r>
      <w:proofErr w:type="spellStart"/>
      <w:r>
        <w:t>i</w:t>
      </w:r>
      <w:proofErr w:type="spellEnd"/>
      <w:r>
        <w:t>) provide a power for the local authority to provide</w:t>
      </w:r>
      <w:r w:rsidR="00DC5245">
        <w:t xml:space="preserve"> recreational facilities or ii) </w:t>
      </w:r>
      <w:r w:rsidR="00234D27">
        <w:t>provide a legal right for any inhabi</w:t>
      </w:r>
      <w:r w:rsidR="00B97EAF">
        <w:t xml:space="preserve">tant to </w:t>
      </w:r>
      <w:r w:rsidR="001E245C">
        <w:t xml:space="preserve">recreate over the Knowle. </w:t>
      </w:r>
      <w:r w:rsidR="005517E3">
        <w:t xml:space="preserve">It was not suggested otherwise to me. </w:t>
      </w:r>
      <w:r w:rsidR="00137D82">
        <w:t xml:space="preserve">It also clearly makes sense, as there is a match between the statutory provision under which the land was held </w:t>
      </w:r>
      <w:r w:rsidR="00716E04">
        <w:t xml:space="preserve">and the actual use of the land </w:t>
      </w:r>
      <w:r w:rsidR="00A37D2D">
        <w:t xml:space="preserve">as the offices of </w:t>
      </w:r>
      <w:r w:rsidR="00A37D2D">
        <w:lastRenderedPageBreak/>
        <w:t>the Objector, together with the connected parking facili</w:t>
      </w:r>
      <w:r w:rsidR="003E4336">
        <w:t xml:space="preserve">ties (but see below for the legal relevance of </w:t>
      </w:r>
      <w:r w:rsidR="004D04FF">
        <w:t>the factual use of the land</w:t>
      </w:r>
      <w:r w:rsidR="003E4336">
        <w:t xml:space="preserve">). </w:t>
      </w:r>
    </w:p>
    <w:p w14:paraId="560AAB40" w14:textId="2C0E75CE" w:rsidR="005C4590" w:rsidRPr="00AC7F49" w:rsidRDefault="005C4590" w:rsidP="005C4590">
      <w:pPr>
        <w:pStyle w:val="BodyText"/>
        <w:spacing w:line="360" w:lineRule="auto"/>
        <w:jc w:val="both"/>
        <w:rPr>
          <w:rFonts w:cs="Arial"/>
          <w:b/>
          <w:bCs/>
          <w:u w:val="single"/>
        </w:rPr>
      </w:pPr>
      <w:r>
        <w:rPr>
          <w:rFonts w:cs="Arial"/>
          <w:b/>
          <w:bCs/>
          <w:u w:val="single"/>
        </w:rPr>
        <w:t>The Public Health Act 1875</w:t>
      </w:r>
    </w:p>
    <w:p w14:paraId="41F0653E" w14:textId="6069DD11" w:rsidR="005C4590" w:rsidRDefault="005F3434" w:rsidP="00C952C9">
      <w:pPr>
        <w:pStyle w:val="BodyText"/>
        <w:numPr>
          <w:ilvl w:val="0"/>
          <w:numId w:val="1"/>
        </w:numPr>
        <w:spacing w:line="360" w:lineRule="auto"/>
        <w:jc w:val="both"/>
      </w:pPr>
      <w:r>
        <w:t xml:space="preserve">Section 164 of the Public Health Act 1875 provides that byelaws can be imposed </w:t>
      </w:r>
      <w:r w:rsidR="009E3AF8">
        <w:t xml:space="preserve">over </w:t>
      </w:r>
      <w:r w:rsidR="00D36C6C">
        <w:t xml:space="preserve">land </w:t>
      </w:r>
      <w:r w:rsidR="002F5EDB">
        <w:t>that</w:t>
      </w:r>
      <w:r w:rsidR="00D36C6C">
        <w:t xml:space="preserve"> is held under that provision. The </w:t>
      </w:r>
      <w:r w:rsidR="001F2C4C">
        <w:t>section</w:t>
      </w:r>
      <w:r w:rsidR="00D36C6C">
        <w:t xml:space="preserve"> </w:t>
      </w:r>
      <w:r w:rsidR="001F2C4C">
        <w:t>currently reads as follows</w:t>
      </w:r>
      <w:r w:rsidR="006A28BC">
        <w:t xml:space="preserve"> (but it was not suggested that there have been any material amendments)</w:t>
      </w:r>
      <w:r w:rsidR="00D36C6C">
        <w:t>:</w:t>
      </w:r>
    </w:p>
    <w:p w14:paraId="30DC7FE1" w14:textId="29D7384C" w:rsidR="001F2C4C" w:rsidRPr="001F2C4C" w:rsidRDefault="001F2C4C" w:rsidP="001F2C4C">
      <w:pPr>
        <w:pStyle w:val="BodyText"/>
        <w:spacing w:line="360" w:lineRule="auto"/>
        <w:jc w:val="both"/>
        <w:rPr>
          <w:b/>
          <w:i/>
          <w:u w:val="single"/>
        </w:rPr>
      </w:pPr>
      <w:r w:rsidRPr="001F2C4C">
        <w:rPr>
          <w:b/>
          <w:i/>
        </w:rPr>
        <w:tab/>
      </w:r>
      <w:r w:rsidRPr="001F2C4C">
        <w:rPr>
          <w:b/>
          <w:i/>
          <w:u w:val="single"/>
        </w:rPr>
        <w:t>164. Urban authority may provide places of public recreation.</w:t>
      </w:r>
    </w:p>
    <w:p w14:paraId="1622B16F" w14:textId="14244C51" w:rsidR="001F2C4C" w:rsidRPr="001F2C4C" w:rsidRDefault="001F2C4C" w:rsidP="001F2C4C">
      <w:pPr>
        <w:pStyle w:val="BodyText"/>
        <w:spacing w:line="360" w:lineRule="auto"/>
        <w:ind w:left="720"/>
        <w:jc w:val="both"/>
        <w:rPr>
          <w:i/>
        </w:rPr>
      </w:pPr>
      <w:r w:rsidRPr="001F2C4C">
        <w:rPr>
          <w:i/>
        </w:rPr>
        <w:t>Any [local authority] may purchase or take on lease lay out plant improve and maintain lands for the purpose of being used as public walks or pleasure grounds, and may support or contribute to the support of public walks or pleasure grounds provided by any person whomsoever.</w:t>
      </w:r>
    </w:p>
    <w:p w14:paraId="3E68D045" w14:textId="205B62FD" w:rsidR="005C4590" w:rsidRPr="001F2C4C" w:rsidRDefault="001F2C4C" w:rsidP="001F2C4C">
      <w:pPr>
        <w:pStyle w:val="BodyText"/>
        <w:spacing w:line="360" w:lineRule="auto"/>
        <w:ind w:left="720"/>
        <w:jc w:val="both"/>
        <w:rPr>
          <w:i/>
        </w:rPr>
      </w:pPr>
      <w:r w:rsidRPr="001F2C4C">
        <w:rPr>
          <w:i/>
        </w:rPr>
        <w:t>Any [local authority] may make byelaws for the regulation of any such public walk or pleasure ground, and may by such byelaws provide for the removal from such public walk or pleasure ground of any person infringing any such byelaw by any officer of the [local authority] 1 or constable.</w:t>
      </w:r>
    </w:p>
    <w:p w14:paraId="7CC1DE0A" w14:textId="08F776F9" w:rsidR="00A945DC" w:rsidRPr="00AC7F49" w:rsidRDefault="00A945DC" w:rsidP="00A945DC">
      <w:pPr>
        <w:pStyle w:val="BodyText"/>
        <w:spacing w:line="360" w:lineRule="auto"/>
        <w:jc w:val="both"/>
        <w:rPr>
          <w:rFonts w:cs="Arial"/>
          <w:b/>
          <w:bCs/>
          <w:u w:val="single"/>
        </w:rPr>
      </w:pPr>
      <w:r>
        <w:rPr>
          <w:rFonts w:cs="Arial"/>
          <w:b/>
          <w:bCs/>
          <w:u w:val="single"/>
        </w:rPr>
        <w:t>The law on “appropriation” after Barkas in the Supreme Court</w:t>
      </w:r>
    </w:p>
    <w:p w14:paraId="23526968" w14:textId="5C3BD142" w:rsidR="000B6F4F" w:rsidRDefault="000B6F4F" w:rsidP="001F02F2">
      <w:pPr>
        <w:pStyle w:val="BodyText"/>
        <w:numPr>
          <w:ilvl w:val="0"/>
          <w:numId w:val="1"/>
        </w:numPr>
        <w:spacing w:line="360" w:lineRule="auto"/>
        <w:jc w:val="both"/>
      </w:pPr>
      <w:r>
        <w:t xml:space="preserve">As is well established it is necessary for qualifying user to have been </w:t>
      </w:r>
      <w:r>
        <w:rPr>
          <w:i/>
        </w:rPr>
        <w:t>as of right</w:t>
      </w:r>
      <w:r>
        <w:t xml:space="preserve">. Use </w:t>
      </w:r>
      <w:r>
        <w:rPr>
          <w:i/>
        </w:rPr>
        <w:t xml:space="preserve">as of right </w:t>
      </w:r>
      <w:r>
        <w:t>will satisfy the tripartite test of being use without force, without secrecy or wi</w:t>
      </w:r>
      <w:r w:rsidR="00973926">
        <w:t>thout permission (</w:t>
      </w:r>
      <w:proofErr w:type="spellStart"/>
      <w:r w:rsidR="00973926">
        <w:rPr>
          <w:i/>
        </w:rPr>
        <w:t>nec</w:t>
      </w:r>
      <w:proofErr w:type="spellEnd"/>
      <w:r w:rsidR="00973926">
        <w:rPr>
          <w:i/>
        </w:rPr>
        <w:t xml:space="preserve"> vi, </w:t>
      </w:r>
      <w:proofErr w:type="spellStart"/>
      <w:r w:rsidR="00973926">
        <w:rPr>
          <w:i/>
        </w:rPr>
        <w:t>nec</w:t>
      </w:r>
      <w:proofErr w:type="spellEnd"/>
      <w:r w:rsidR="00973926">
        <w:rPr>
          <w:i/>
        </w:rPr>
        <w:t xml:space="preserve"> clam, </w:t>
      </w:r>
      <w:proofErr w:type="spellStart"/>
      <w:r w:rsidR="00973926">
        <w:rPr>
          <w:i/>
        </w:rPr>
        <w:t>nec</w:t>
      </w:r>
      <w:proofErr w:type="spellEnd"/>
      <w:r w:rsidR="00973926">
        <w:rPr>
          <w:i/>
        </w:rPr>
        <w:t xml:space="preserve"> </w:t>
      </w:r>
      <w:proofErr w:type="spellStart"/>
      <w:r w:rsidR="00973926">
        <w:rPr>
          <w:i/>
        </w:rPr>
        <w:t>preacrio</w:t>
      </w:r>
      <w:proofErr w:type="spellEnd"/>
      <w:r w:rsidR="00973926" w:rsidRPr="00973926">
        <w:t>)</w:t>
      </w:r>
      <w:r w:rsidR="009621DB">
        <w:t>.</w:t>
      </w:r>
      <w:r w:rsidR="00F65801">
        <w:rPr>
          <w:rStyle w:val="FootnoteReference"/>
        </w:rPr>
        <w:footnoteReference w:id="38"/>
      </w:r>
      <w:r w:rsidR="009621DB">
        <w:t xml:space="preserve"> </w:t>
      </w:r>
    </w:p>
    <w:p w14:paraId="793E4D93" w14:textId="72EE21CF" w:rsidR="000B6F4F" w:rsidRPr="000B6F4F" w:rsidRDefault="000B6F4F" w:rsidP="00F65801">
      <w:pPr>
        <w:pStyle w:val="BodyText"/>
        <w:numPr>
          <w:ilvl w:val="0"/>
          <w:numId w:val="1"/>
        </w:numPr>
        <w:spacing w:line="360" w:lineRule="auto"/>
        <w:rPr>
          <w:lang w:val="en-US"/>
        </w:rPr>
      </w:pPr>
      <w:r w:rsidRPr="003F555E">
        <w:rPr>
          <w:lang w:val="en-US"/>
        </w:rPr>
        <w:t>The approach that practitioners had previously sought to apply to issue</w:t>
      </w:r>
      <w:r w:rsidR="002851BB" w:rsidRPr="003F555E">
        <w:rPr>
          <w:lang w:val="en-US"/>
        </w:rPr>
        <w:t xml:space="preserve"> of land in public</w:t>
      </w:r>
      <w:r w:rsidR="004E127D" w:rsidRPr="003F555E">
        <w:rPr>
          <w:lang w:val="en-US"/>
        </w:rPr>
        <w:t xml:space="preserve"> ownership</w:t>
      </w:r>
      <w:r w:rsidRPr="003F555E">
        <w:rPr>
          <w:lang w:val="en-US"/>
        </w:rPr>
        <w:t xml:space="preserve"> </w:t>
      </w:r>
      <w:r w:rsidR="003F555E">
        <w:rPr>
          <w:lang w:val="en-US"/>
        </w:rPr>
        <w:t xml:space="preserve">had been based on the House of Lords decision in </w:t>
      </w:r>
      <w:r w:rsidR="00041EC2" w:rsidRPr="00041EC2">
        <w:rPr>
          <w:i/>
          <w:iCs/>
          <w:lang w:val="en-US"/>
        </w:rPr>
        <w:t>R (Beresford) v Sunderland City Council [2004] 1 AC 889</w:t>
      </w:r>
      <w:r w:rsidR="00041EC2" w:rsidRPr="00041EC2">
        <w:rPr>
          <w:i/>
          <w:lang w:val="en-US"/>
        </w:rPr>
        <w:t xml:space="preserve"> </w:t>
      </w:r>
      <w:r w:rsidR="00041EC2">
        <w:rPr>
          <w:lang w:val="en-US"/>
        </w:rPr>
        <w:t>(“</w:t>
      </w:r>
      <w:r w:rsidR="00041EC2">
        <w:rPr>
          <w:i/>
          <w:lang w:val="en-US"/>
        </w:rPr>
        <w:t>Beresford</w:t>
      </w:r>
      <w:r w:rsidR="00041EC2">
        <w:rPr>
          <w:lang w:val="en-US"/>
        </w:rPr>
        <w:t>”)</w:t>
      </w:r>
      <w:r w:rsidR="00041EC2" w:rsidRPr="00041EC2">
        <w:rPr>
          <w:i/>
          <w:lang w:val="en-US"/>
        </w:rPr>
        <w:t>.</w:t>
      </w:r>
      <w:r w:rsidR="003F555E">
        <w:rPr>
          <w:lang w:val="en-US"/>
        </w:rPr>
        <w:t xml:space="preserve"> </w:t>
      </w:r>
      <w:r w:rsidR="007F41EF">
        <w:rPr>
          <w:lang w:val="en-US"/>
        </w:rPr>
        <w:t>From that case</w:t>
      </w:r>
      <w:r w:rsidR="00475488">
        <w:rPr>
          <w:lang w:val="en-US"/>
        </w:rPr>
        <w:t xml:space="preserve"> it had appeared that the question to ask was whether </w:t>
      </w:r>
      <w:r w:rsidR="00803541">
        <w:rPr>
          <w:lang w:val="en-US"/>
        </w:rPr>
        <w:t xml:space="preserve">the public had made use </w:t>
      </w:r>
      <w:r w:rsidR="00B0173C">
        <w:rPr>
          <w:lang w:val="en-US"/>
        </w:rPr>
        <w:t xml:space="preserve">of land pursuant to a statutory right or </w:t>
      </w:r>
      <w:proofErr w:type="spellStart"/>
      <w:r w:rsidR="00D85880">
        <w:rPr>
          <w:lang w:val="en-US"/>
        </w:rPr>
        <w:t>licence</w:t>
      </w:r>
      <w:proofErr w:type="spellEnd"/>
      <w:r w:rsidR="00B0173C">
        <w:rPr>
          <w:lang w:val="en-US"/>
        </w:rPr>
        <w:t xml:space="preserve"> </w:t>
      </w:r>
      <w:r w:rsidR="006D34C6">
        <w:rPr>
          <w:lang w:val="en-US"/>
        </w:rPr>
        <w:t>conferred by the statute under which the local authority owned the land</w:t>
      </w:r>
      <w:r w:rsidR="00E4150C">
        <w:rPr>
          <w:lang w:val="en-US"/>
        </w:rPr>
        <w:t>.</w:t>
      </w:r>
      <w:r w:rsidR="00F0010E">
        <w:rPr>
          <w:rStyle w:val="FootnoteReference"/>
          <w:lang w:val="en-US"/>
        </w:rPr>
        <w:footnoteReference w:id="39"/>
      </w:r>
      <w:r w:rsidR="00F12D4D" w:rsidRPr="00F12D4D">
        <w:t xml:space="preserve"> </w:t>
      </w:r>
      <w:r w:rsidR="0070237A">
        <w:t xml:space="preserve">It was held in </w:t>
      </w:r>
      <w:r w:rsidR="0070237A">
        <w:rPr>
          <w:i/>
        </w:rPr>
        <w:t>obiter dicta</w:t>
      </w:r>
      <w:r w:rsidR="00255603">
        <w:rPr>
          <w:rStyle w:val="FootnoteReference"/>
          <w:i/>
        </w:rPr>
        <w:footnoteReference w:id="40"/>
      </w:r>
      <w:r w:rsidR="0070237A">
        <w:rPr>
          <w:i/>
        </w:rPr>
        <w:t xml:space="preserve"> </w:t>
      </w:r>
      <w:r w:rsidR="0070237A">
        <w:t xml:space="preserve">that use </w:t>
      </w:r>
      <w:r w:rsidR="00D14B7B">
        <w:t>of land held under s.164</w:t>
      </w:r>
      <w:r w:rsidR="0070237A">
        <w:t xml:space="preserve"> </w:t>
      </w:r>
      <w:r w:rsidR="00D14B7B">
        <w:t>of the</w:t>
      </w:r>
      <w:r w:rsidR="0070237A">
        <w:t xml:space="preserve"> </w:t>
      </w:r>
      <w:r w:rsidR="00D14B7B">
        <w:t xml:space="preserve">Public Health </w:t>
      </w:r>
      <w:r w:rsidR="00D14B7B">
        <w:lastRenderedPageBreak/>
        <w:t>Act 1875 or s.10 of the</w:t>
      </w:r>
      <w:r w:rsidR="00F14B5A">
        <w:t xml:space="preserve"> Open Spaces Act 1906 would be incompatible with registration as a village green. </w:t>
      </w:r>
    </w:p>
    <w:p w14:paraId="21EBCA0F" w14:textId="28AE1E8F" w:rsidR="009B07D5" w:rsidRDefault="00AE7974" w:rsidP="00DA4F7E">
      <w:pPr>
        <w:pStyle w:val="BodyText"/>
        <w:numPr>
          <w:ilvl w:val="0"/>
          <w:numId w:val="1"/>
        </w:numPr>
        <w:spacing w:line="360" w:lineRule="auto"/>
        <w:rPr>
          <w:lang w:val="en-US"/>
        </w:rPr>
      </w:pPr>
      <w:r>
        <w:rPr>
          <w:lang w:val="en-US"/>
        </w:rPr>
        <w:t>Surprisingly</w:t>
      </w:r>
      <w:r w:rsidR="008049F3">
        <w:rPr>
          <w:lang w:val="en-US"/>
        </w:rPr>
        <w:t>,</w:t>
      </w:r>
      <w:r w:rsidR="004801FF">
        <w:rPr>
          <w:lang w:val="en-US"/>
        </w:rPr>
        <w:t xml:space="preserve"> </w:t>
      </w:r>
      <w:r w:rsidR="0008736F">
        <w:rPr>
          <w:lang w:val="en-US"/>
        </w:rPr>
        <w:t xml:space="preserve">in </w:t>
      </w:r>
      <w:r w:rsidR="00F151E9">
        <w:rPr>
          <w:lang w:val="en-US"/>
        </w:rPr>
        <w:t xml:space="preserve">the recent </w:t>
      </w:r>
      <w:r w:rsidR="004801FF">
        <w:rPr>
          <w:i/>
          <w:lang w:val="en-US"/>
        </w:rPr>
        <w:t>Barkas</w:t>
      </w:r>
      <w:r w:rsidR="004801FF">
        <w:rPr>
          <w:lang w:val="en-US"/>
        </w:rPr>
        <w:t xml:space="preserve"> </w:t>
      </w:r>
      <w:r w:rsidR="0008736F">
        <w:rPr>
          <w:lang w:val="en-US"/>
        </w:rPr>
        <w:t>case the Supreme Court</w:t>
      </w:r>
      <w:r w:rsidR="004801FF">
        <w:rPr>
          <w:lang w:val="en-US"/>
        </w:rPr>
        <w:t xml:space="preserve"> </w:t>
      </w:r>
      <w:r w:rsidR="00647D30">
        <w:rPr>
          <w:lang w:val="en-US"/>
        </w:rPr>
        <w:t>ruled that the</w:t>
      </w:r>
      <w:r w:rsidR="00120659">
        <w:rPr>
          <w:lang w:val="en-US"/>
        </w:rPr>
        <w:t xml:space="preserve"> </w:t>
      </w:r>
      <w:r w:rsidR="00120659">
        <w:rPr>
          <w:i/>
          <w:lang w:val="en-US"/>
        </w:rPr>
        <w:t xml:space="preserve">Beresford </w:t>
      </w:r>
      <w:r w:rsidR="00120659">
        <w:rPr>
          <w:lang w:val="en-US"/>
        </w:rPr>
        <w:t>case was wrongly decided and should be overruled.</w:t>
      </w:r>
      <w:r w:rsidR="00ED13EC">
        <w:rPr>
          <w:lang w:val="en-US"/>
        </w:rPr>
        <w:t xml:space="preserve"> </w:t>
      </w:r>
      <w:r w:rsidR="00ED13EC" w:rsidRPr="00ED13EC">
        <w:rPr>
          <w:lang w:val="en-US"/>
        </w:rPr>
        <w:t xml:space="preserve">It appears to me from a study of the two judgments provided by Lord Neuberger and Lord </w:t>
      </w:r>
      <w:proofErr w:type="spellStart"/>
      <w:r w:rsidR="00ED13EC" w:rsidRPr="00ED13EC">
        <w:rPr>
          <w:lang w:val="en-US"/>
        </w:rPr>
        <w:t>Carnwath</w:t>
      </w:r>
      <w:proofErr w:type="spellEnd"/>
      <w:r w:rsidR="00ED13EC" w:rsidRPr="00ED13EC">
        <w:rPr>
          <w:lang w:val="en-US"/>
        </w:rPr>
        <w:t xml:space="preserve"> that the</w:t>
      </w:r>
      <w:r w:rsidR="000B6F4F" w:rsidRPr="00ED13EC">
        <w:rPr>
          <w:lang w:val="en-US"/>
        </w:rPr>
        <w:t xml:space="preserve"> </w:t>
      </w:r>
      <w:r w:rsidR="00DA4F7E" w:rsidRPr="00ED13EC">
        <w:rPr>
          <w:lang w:val="en-US"/>
        </w:rPr>
        <w:t xml:space="preserve">court </w:t>
      </w:r>
      <w:r w:rsidR="00ED13EC" w:rsidRPr="00ED13EC">
        <w:rPr>
          <w:lang w:val="en-US"/>
        </w:rPr>
        <w:t xml:space="preserve">has </w:t>
      </w:r>
      <w:r w:rsidR="00DA4F7E" w:rsidRPr="00ED13EC">
        <w:rPr>
          <w:lang w:val="en-US"/>
        </w:rPr>
        <w:t>shifted away from an analysis of whether a particular statute conferred a “legal right” on the inhabitants and towards an approach focused on whether a particular statute provided a power for a local authority to provide land to be used, by the public, for recreation. Where use is made of land in public ownership in these circumstances it can</w:t>
      </w:r>
      <w:r w:rsidR="00064A37">
        <w:rPr>
          <w:lang w:val="en-US"/>
        </w:rPr>
        <w:t xml:space="preserve"> be said that the use has been </w:t>
      </w:r>
      <w:r w:rsidR="00064A37">
        <w:rPr>
          <w:i/>
          <w:lang w:val="en-US"/>
        </w:rPr>
        <w:t xml:space="preserve">by right </w:t>
      </w:r>
      <w:r w:rsidR="00DA4F7E" w:rsidRPr="00ED13EC">
        <w:rPr>
          <w:lang w:val="en-US"/>
        </w:rPr>
        <w:t xml:space="preserve">or </w:t>
      </w:r>
      <w:r w:rsidR="00064A37">
        <w:rPr>
          <w:i/>
          <w:lang w:val="en-US"/>
        </w:rPr>
        <w:t>of right</w:t>
      </w:r>
      <w:r w:rsidR="00DA4F7E" w:rsidRPr="00ED13EC">
        <w:rPr>
          <w:lang w:val="en-US"/>
        </w:rPr>
        <w:t xml:space="preserve"> and not </w:t>
      </w:r>
      <w:r w:rsidR="00064A37">
        <w:rPr>
          <w:i/>
          <w:lang w:val="en-US"/>
        </w:rPr>
        <w:t>as of right</w:t>
      </w:r>
      <w:r w:rsidR="00064A37">
        <w:rPr>
          <w:lang w:val="en-US"/>
        </w:rPr>
        <w:t xml:space="preserve">. </w:t>
      </w:r>
    </w:p>
    <w:p w14:paraId="785794C0" w14:textId="71FEDF3D" w:rsidR="007C776C" w:rsidRPr="00D40F33" w:rsidRDefault="00511C9B" w:rsidP="007C776C">
      <w:pPr>
        <w:pStyle w:val="BodyText"/>
        <w:numPr>
          <w:ilvl w:val="0"/>
          <w:numId w:val="1"/>
        </w:numPr>
        <w:spacing w:line="360" w:lineRule="auto"/>
        <w:rPr>
          <w:lang w:val="en-US"/>
        </w:rPr>
      </w:pPr>
      <w:r>
        <w:rPr>
          <w:lang w:val="en-US"/>
        </w:rPr>
        <w:t xml:space="preserve">Was the area outside of the 1973 appropriation </w:t>
      </w:r>
      <w:r w:rsidR="006650C2">
        <w:rPr>
          <w:lang w:val="en-US"/>
        </w:rPr>
        <w:t xml:space="preserve">later “appropriated” so as to render use of it </w:t>
      </w:r>
      <w:r w:rsidR="006650C2">
        <w:rPr>
          <w:i/>
          <w:lang w:val="en-US"/>
        </w:rPr>
        <w:t>by right</w:t>
      </w:r>
      <w:r w:rsidR="006A2D57">
        <w:rPr>
          <w:lang w:val="en-US"/>
        </w:rPr>
        <w:t xml:space="preserve">? </w:t>
      </w:r>
      <w:r w:rsidR="00811C79">
        <w:rPr>
          <w:lang w:val="en-US"/>
        </w:rPr>
        <w:t xml:space="preserve">The stating point, as I see it, </w:t>
      </w:r>
      <w:r w:rsidR="0075660A">
        <w:rPr>
          <w:lang w:val="en-US"/>
        </w:rPr>
        <w:t xml:space="preserve">is that there are now </w:t>
      </w:r>
      <w:r w:rsidR="000B5ABA">
        <w:rPr>
          <w:lang w:val="en-US"/>
        </w:rPr>
        <w:t xml:space="preserve">at least </w:t>
      </w:r>
      <w:r w:rsidR="009768B1">
        <w:rPr>
          <w:lang w:val="en-US"/>
        </w:rPr>
        <w:t>4</w:t>
      </w:r>
      <w:r w:rsidR="00AC7703">
        <w:rPr>
          <w:lang w:val="en-US"/>
        </w:rPr>
        <w:t xml:space="preserve"> and possibly </w:t>
      </w:r>
      <w:r w:rsidR="009768B1">
        <w:rPr>
          <w:lang w:val="en-US"/>
        </w:rPr>
        <w:t>5</w:t>
      </w:r>
      <w:r w:rsidR="007C776C" w:rsidRPr="00D40F33">
        <w:rPr>
          <w:lang w:val="en-US"/>
        </w:rPr>
        <w:t xml:space="preserve"> different types of “appropriation” known to the law.</w:t>
      </w:r>
    </w:p>
    <w:p w14:paraId="23A1A05D" w14:textId="243286FC" w:rsidR="002E0EC4" w:rsidRPr="002E0EC4" w:rsidRDefault="002E0EC4" w:rsidP="007C776C">
      <w:pPr>
        <w:pStyle w:val="BodyText"/>
        <w:numPr>
          <w:ilvl w:val="0"/>
          <w:numId w:val="1"/>
        </w:numPr>
        <w:spacing w:line="360" w:lineRule="auto"/>
        <w:rPr>
          <w:lang w:val="en-US"/>
        </w:rPr>
      </w:pPr>
      <w:r>
        <w:rPr>
          <w:lang w:val="en-US"/>
        </w:rPr>
        <w:t>First, there is an express appropriation</w:t>
      </w:r>
      <w:r w:rsidR="0052632D">
        <w:rPr>
          <w:lang w:val="en-US"/>
        </w:rPr>
        <w:t xml:space="preserve"> </w:t>
      </w:r>
      <w:r w:rsidR="00CE43C1">
        <w:rPr>
          <w:lang w:val="en-US"/>
        </w:rPr>
        <w:t>that</w:t>
      </w:r>
      <w:r w:rsidR="0052632D">
        <w:rPr>
          <w:lang w:val="en-US"/>
        </w:rPr>
        <w:t xml:space="preserve"> takes the form of a formal resolution of the local a</w:t>
      </w:r>
      <w:r w:rsidR="003B303C">
        <w:rPr>
          <w:lang w:val="en-US"/>
        </w:rPr>
        <w:t>uth</w:t>
      </w:r>
      <w:r w:rsidR="00763634">
        <w:rPr>
          <w:lang w:val="en-US"/>
        </w:rPr>
        <w:t>ority pursuant to the relevant statutory power appropriation (today found in s.122 of the Local Government Act 1933)</w:t>
      </w:r>
      <w:r w:rsidR="0029102C">
        <w:rPr>
          <w:lang w:val="en-US"/>
        </w:rPr>
        <w:t xml:space="preserve">. </w:t>
      </w:r>
      <w:r w:rsidR="006467BB">
        <w:rPr>
          <w:lang w:val="en-US"/>
        </w:rPr>
        <w:t>This is what</w:t>
      </w:r>
      <w:r w:rsidR="00231104">
        <w:rPr>
          <w:lang w:val="en-US"/>
        </w:rPr>
        <w:t xml:space="preserve"> happened, I </w:t>
      </w:r>
      <w:r w:rsidR="009F3781">
        <w:rPr>
          <w:lang w:val="en-US"/>
        </w:rPr>
        <w:t>have found</w:t>
      </w:r>
      <w:r w:rsidR="00231104">
        <w:rPr>
          <w:lang w:val="en-US"/>
        </w:rPr>
        <w:t xml:space="preserve">, </w:t>
      </w:r>
      <w:r w:rsidR="0052632D">
        <w:rPr>
          <w:lang w:val="en-US"/>
        </w:rPr>
        <w:t>in res</w:t>
      </w:r>
      <w:r w:rsidR="000F2154">
        <w:rPr>
          <w:lang w:val="en-US"/>
        </w:rPr>
        <w:t xml:space="preserve">pect of the 1973 appropriation of the majority of the Knowle. </w:t>
      </w:r>
    </w:p>
    <w:p w14:paraId="474D2548" w14:textId="77777777" w:rsidR="00004E1C" w:rsidRDefault="002E0EC4" w:rsidP="00004E1C">
      <w:pPr>
        <w:pStyle w:val="BodyText"/>
        <w:numPr>
          <w:ilvl w:val="0"/>
          <w:numId w:val="1"/>
        </w:numPr>
        <w:spacing w:line="360" w:lineRule="auto"/>
        <w:rPr>
          <w:lang w:val="en-US"/>
        </w:rPr>
      </w:pPr>
      <w:r>
        <w:t>Second</w:t>
      </w:r>
      <w:r w:rsidR="007C776C" w:rsidRPr="007C776C">
        <w:t xml:space="preserve">, there is implicit appropriation. </w:t>
      </w:r>
      <w:r w:rsidR="007C776C">
        <w:t xml:space="preserve">The case </w:t>
      </w:r>
      <w:r w:rsidR="007C776C" w:rsidRPr="007C776C">
        <w:rPr>
          <w:i/>
        </w:rPr>
        <w:t xml:space="preserve">Oxy-Electric v </w:t>
      </w:r>
      <w:proofErr w:type="spellStart"/>
      <w:r w:rsidR="007C776C" w:rsidRPr="007C776C">
        <w:rPr>
          <w:i/>
        </w:rPr>
        <w:t>Zainudden</w:t>
      </w:r>
      <w:proofErr w:type="spellEnd"/>
      <w:r w:rsidR="007C776C" w:rsidRPr="007C776C">
        <w:rPr>
          <w:i/>
        </w:rPr>
        <w:t xml:space="preserve"> </w:t>
      </w:r>
      <w:r w:rsidR="007C776C" w:rsidRPr="007C776C">
        <w:t>(1990) (unreported)</w:t>
      </w:r>
      <w:r w:rsidR="007C776C">
        <w:t xml:space="preserve">, which is often cited at village green inquiries, is supportive of the proposition that where </w:t>
      </w:r>
      <w:r w:rsidR="007C776C" w:rsidRPr="007C776C">
        <w:t>local authority makes a decision or resolves to use land in a way that would only be lawful if there were an appropriation then such an appropriation will be implicit in the decision or resolution. The judge said:</w:t>
      </w:r>
    </w:p>
    <w:p w14:paraId="16BA100C" w14:textId="759C25A0" w:rsidR="007C776C" w:rsidRPr="00004E1C" w:rsidRDefault="003E3449" w:rsidP="00004E1C">
      <w:pPr>
        <w:pStyle w:val="BodyText"/>
        <w:spacing w:line="360" w:lineRule="auto"/>
        <w:ind w:left="720"/>
        <w:rPr>
          <w:lang w:val="en-US"/>
        </w:rPr>
      </w:pPr>
      <w:r w:rsidRPr="00004E1C">
        <w:rPr>
          <w:i/>
        </w:rPr>
        <w:t>“</w:t>
      </w:r>
      <w:r w:rsidR="007C776C" w:rsidRPr="00004E1C">
        <w:rPr>
          <w:i/>
        </w:rPr>
        <w:t>I am quite prepared to accept that, if the local authority dealt with the land in such a manner that it could only have dealt with it lawfully if it had made an appropriation, then the resolution need not record such appropriation.</w:t>
      </w:r>
      <w:r w:rsidRPr="00004E1C">
        <w:rPr>
          <w:i/>
        </w:rPr>
        <w:t>”</w:t>
      </w:r>
    </w:p>
    <w:p w14:paraId="7B0662B7" w14:textId="6F1BB10A" w:rsidR="007C776C" w:rsidRPr="007C776C" w:rsidRDefault="00D45802" w:rsidP="00D45802">
      <w:pPr>
        <w:pStyle w:val="BodyText"/>
        <w:numPr>
          <w:ilvl w:val="0"/>
          <w:numId w:val="1"/>
        </w:numPr>
        <w:spacing w:line="360" w:lineRule="auto"/>
      </w:pPr>
      <w:r>
        <w:t>Third</w:t>
      </w:r>
      <w:r w:rsidR="007C776C" w:rsidRPr="007C776C">
        <w:t xml:space="preserve">, in the case of lost records (e.g. minutes) an inference might be drawn from surrounding evidence that a particular lost minute or record would have recorded a decision to appropriate the land. </w:t>
      </w:r>
      <w:r w:rsidR="00AA6888">
        <w:t xml:space="preserve">The evidential inference that would be drawn in these circumstances would be of a decision that amounted to an express or an implicit </w:t>
      </w:r>
      <w:r w:rsidR="00AA6888">
        <w:lastRenderedPageBreak/>
        <w:t>appropriat</w:t>
      </w:r>
      <w:r w:rsidR="00643B0C">
        <w:t>ion had actually been taken.</w:t>
      </w:r>
      <w:r w:rsidR="00AA6888">
        <w:t xml:space="preserve"> </w:t>
      </w:r>
      <w:r w:rsidR="005650DB">
        <w:t>It is not contended in this case that there are</w:t>
      </w:r>
      <w:r w:rsidR="00983F9C">
        <w:t xml:space="preserve"> any </w:t>
      </w:r>
      <w:r w:rsidR="00275960">
        <w:t>material</w:t>
      </w:r>
      <w:r w:rsidR="005A17FE">
        <w:t xml:space="preserve"> documents missing. </w:t>
      </w:r>
    </w:p>
    <w:p w14:paraId="57E80335" w14:textId="04C305EF" w:rsidR="009B07D5" w:rsidRPr="008503CA" w:rsidRDefault="007E0613" w:rsidP="008503CA">
      <w:pPr>
        <w:pStyle w:val="BodyText"/>
        <w:numPr>
          <w:ilvl w:val="0"/>
          <w:numId w:val="1"/>
        </w:numPr>
        <w:spacing w:line="360" w:lineRule="auto"/>
        <w:rPr>
          <w:lang w:val="en-US"/>
        </w:rPr>
      </w:pPr>
      <w:r>
        <w:rPr>
          <w:lang w:val="en-US"/>
        </w:rPr>
        <w:t xml:space="preserve">Fourth, there is a non-statutory </w:t>
      </w:r>
      <w:r w:rsidR="00811A9E">
        <w:rPr>
          <w:lang w:val="en-US"/>
        </w:rPr>
        <w:t>“</w:t>
      </w:r>
      <w:r w:rsidR="00221EEF">
        <w:rPr>
          <w:lang w:val="en-US"/>
        </w:rPr>
        <w:t>appropriation</w:t>
      </w:r>
      <w:r w:rsidR="00811A9E">
        <w:rPr>
          <w:lang w:val="en-US"/>
        </w:rPr>
        <w:t>”</w:t>
      </w:r>
      <w:r w:rsidR="00221EEF">
        <w:rPr>
          <w:lang w:val="en-US"/>
        </w:rPr>
        <w:t xml:space="preserve"> in the sense used by the Supreme Court </w:t>
      </w:r>
      <w:r w:rsidR="009228ED">
        <w:rPr>
          <w:lang w:val="en-US"/>
        </w:rPr>
        <w:t xml:space="preserve">and Court of Appeal </w:t>
      </w:r>
      <w:r w:rsidR="00221EEF">
        <w:rPr>
          <w:lang w:val="en-US"/>
        </w:rPr>
        <w:t xml:space="preserve">in the </w:t>
      </w:r>
      <w:r w:rsidR="00221EEF">
        <w:rPr>
          <w:i/>
          <w:lang w:val="en-US"/>
        </w:rPr>
        <w:t xml:space="preserve">Barkas </w:t>
      </w:r>
      <w:r w:rsidR="00221EEF">
        <w:rPr>
          <w:lang w:val="en-US"/>
        </w:rPr>
        <w:t>case.</w:t>
      </w:r>
      <w:r w:rsidR="008503CA">
        <w:rPr>
          <w:lang w:val="en-US"/>
        </w:rPr>
        <w:t xml:space="preserve"> </w:t>
      </w:r>
      <w:r w:rsidR="00444310" w:rsidRPr="008503CA">
        <w:rPr>
          <w:lang w:val="en-US"/>
        </w:rPr>
        <w:t xml:space="preserve">The </w:t>
      </w:r>
      <w:r w:rsidR="00444310" w:rsidRPr="008503CA">
        <w:rPr>
          <w:i/>
          <w:lang w:val="en-US"/>
        </w:rPr>
        <w:t xml:space="preserve">Barkas </w:t>
      </w:r>
      <w:r w:rsidR="00444310" w:rsidRPr="008503CA">
        <w:rPr>
          <w:lang w:val="en-US"/>
        </w:rPr>
        <w:t>case concerned land held under successive Housing Acts in circumstances where such land had been laid out as a recreation ground.</w:t>
      </w:r>
      <w:r w:rsidR="00377364" w:rsidRPr="008503CA">
        <w:rPr>
          <w:lang w:val="en-US"/>
        </w:rPr>
        <w:t xml:space="preserve"> </w:t>
      </w:r>
      <w:r w:rsidR="00933301">
        <w:rPr>
          <w:lang w:val="en-US"/>
        </w:rPr>
        <w:t xml:space="preserve">In his judgment </w:t>
      </w:r>
      <w:r w:rsidR="009B07D5" w:rsidRPr="008503CA">
        <w:rPr>
          <w:bCs/>
        </w:rPr>
        <w:t>Lord Neuberger stated at [46]</w:t>
      </w:r>
      <w:r w:rsidR="00E53DA8">
        <w:rPr>
          <w:bCs/>
        </w:rPr>
        <w:t xml:space="preserve">: </w:t>
      </w:r>
    </w:p>
    <w:p w14:paraId="4FF9F7B5" w14:textId="3E98305E" w:rsidR="0068121B" w:rsidRPr="00084E24" w:rsidRDefault="00084E24" w:rsidP="00084E24">
      <w:pPr>
        <w:pStyle w:val="BodyText"/>
        <w:spacing w:line="360" w:lineRule="auto"/>
        <w:ind w:left="720"/>
        <w:rPr>
          <w:i/>
        </w:rPr>
      </w:pPr>
      <w:r>
        <w:rPr>
          <w:i/>
        </w:rPr>
        <w:t>“</w:t>
      </w:r>
      <w:r w:rsidR="009B07D5" w:rsidRPr="00084E24">
        <w:rPr>
          <w:i/>
        </w:rPr>
        <w:t xml:space="preserve">The Field was, as I see it, </w:t>
      </w:r>
      <w:r>
        <w:rPr>
          <w:i/>
        </w:rPr>
        <w:t>‘appropriated’</w:t>
      </w:r>
      <w:r w:rsidR="009B07D5" w:rsidRPr="00084E24">
        <w:rPr>
          <w:i/>
        </w:rPr>
        <w:t>, in the sense of allocated or designated, as public recreational space, in that it had been acquired, and was subsequently maintained, as recreation grounds with the consent of the relevant Minister, in accordance with section 80(1) of the 1936 Act: public recreation was the intended use of the Field from the inception.</w:t>
      </w:r>
      <w:r>
        <w:rPr>
          <w:i/>
        </w:rPr>
        <w:t>”</w:t>
      </w:r>
    </w:p>
    <w:p w14:paraId="7B488A04" w14:textId="650CC4A1" w:rsidR="007F6C67" w:rsidRPr="007F6C67" w:rsidRDefault="00C1354F" w:rsidP="00973926">
      <w:pPr>
        <w:pStyle w:val="BodyText"/>
        <w:numPr>
          <w:ilvl w:val="0"/>
          <w:numId w:val="1"/>
        </w:numPr>
        <w:spacing w:line="360" w:lineRule="auto"/>
        <w:jc w:val="both"/>
        <w:rPr>
          <w:bCs/>
        </w:rPr>
      </w:pPr>
      <w:r>
        <w:rPr>
          <w:bCs/>
        </w:rPr>
        <w:t>Lord Neuberger had previously made clear at [</w:t>
      </w:r>
      <w:r w:rsidR="00275DAB">
        <w:rPr>
          <w:bCs/>
        </w:rPr>
        <w:t>42</w:t>
      </w:r>
      <w:r>
        <w:rPr>
          <w:bCs/>
        </w:rPr>
        <w:t xml:space="preserve">] that </w:t>
      </w:r>
      <w:r w:rsidR="00275DAB">
        <w:rPr>
          <w:bCs/>
        </w:rPr>
        <w:t>“</w:t>
      </w:r>
      <w:r w:rsidR="00275DAB" w:rsidRPr="00275DAB">
        <w:rPr>
          <w:bCs/>
          <w:i/>
          <w:lang w:val="en-US"/>
        </w:rPr>
        <w:t>I agree with Sullivan LJ at para 34 in the Court of Appeal that Lord Walker was pla</w:t>
      </w:r>
      <w:r w:rsidR="008D4DB9">
        <w:rPr>
          <w:bCs/>
          <w:i/>
          <w:lang w:val="en-US"/>
        </w:rPr>
        <w:t>inly not limiting the word ‘appropriate’</w:t>
      </w:r>
      <w:r w:rsidR="00275DAB" w:rsidRPr="00275DAB">
        <w:rPr>
          <w:bCs/>
          <w:i/>
          <w:lang w:val="en-US"/>
        </w:rPr>
        <w:t xml:space="preserve"> to a case covered by section 122 of the Local Government Act 1972).</w:t>
      </w:r>
      <w:r w:rsidR="00275DAB">
        <w:rPr>
          <w:bCs/>
          <w:lang w:val="en-US"/>
        </w:rPr>
        <w:t>”</w:t>
      </w:r>
      <w:r w:rsidR="007F6C67">
        <w:rPr>
          <w:bCs/>
          <w:lang w:val="en-US"/>
        </w:rPr>
        <w:t xml:space="preserve"> </w:t>
      </w:r>
      <w:r w:rsidR="008A3FA4">
        <w:rPr>
          <w:bCs/>
          <w:lang w:val="en-US"/>
        </w:rPr>
        <w:t xml:space="preserve">The reference to Lord Walker was a reference to </w:t>
      </w:r>
      <w:r w:rsidR="00E72657">
        <w:rPr>
          <w:bCs/>
          <w:lang w:val="en-US"/>
        </w:rPr>
        <w:t>his</w:t>
      </w:r>
      <w:r w:rsidR="008A3FA4">
        <w:rPr>
          <w:bCs/>
          <w:lang w:val="en-US"/>
        </w:rPr>
        <w:t xml:space="preserve"> </w:t>
      </w:r>
      <w:r w:rsidR="008A3FA4">
        <w:rPr>
          <w:bCs/>
          <w:i/>
          <w:lang w:val="en-US"/>
        </w:rPr>
        <w:t xml:space="preserve">Beresford </w:t>
      </w:r>
      <w:r w:rsidR="00E72657">
        <w:rPr>
          <w:bCs/>
          <w:lang w:val="en-US"/>
        </w:rPr>
        <w:t>judgment</w:t>
      </w:r>
      <w:r w:rsidR="008A3FA4">
        <w:rPr>
          <w:bCs/>
          <w:lang w:val="en-US"/>
        </w:rPr>
        <w:t xml:space="preserve">. </w:t>
      </w:r>
    </w:p>
    <w:p w14:paraId="4F0255E4" w14:textId="5FC140FE" w:rsidR="007F6C67" w:rsidRPr="007F6C67" w:rsidRDefault="00F56BFC" w:rsidP="007F6C67">
      <w:pPr>
        <w:pStyle w:val="BodyText"/>
        <w:numPr>
          <w:ilvl w:val="0"/>
          <w:numId w:val="1"/>
        </w:numPr>
        <w:spacing w:line="360" w:lineRule="auto"/>
        <w:jc w:val="both"/>
        <w:rPr>
          <w:bCs/>
        </w:rPr>
      </w:pPr>
      <w:r>
        <w:rPr>
          <w:bCs/>
          <w:lang w:val="en-US"/>
        </w:rPr>
        <w:t xml:space="preserve">Lord Neuberger </w:t>
      </w:r>
      <w:r w:rsidR="00BE03E8">
        <w:rPr>
          <w:bCs/>
          <w:lang w:val="en-US"/>
        </w:rPr>
        <w:t>said at</w:t>
      </w:r>
      <w:r>
        <w:rPr>
          <w:bCs/>
          <w:lang w:val="en-US"/>
        </w:rPr>
        <w:t xml:space="preserve"> [</w:t>
      </w:r>
      <w:r w:rsidR="0085540B">
        <w:rPr>
          <w:bCs/>
          <w:lang w:val="en-US"/>
        </w:rPr>
        <w:t>50</w:t>
      </w:r>
      <w:r>
        <w:rPr>
          <w:bCs/>
          <w:lang w:val="en-US"/>
        </w:rPr>
        <w:t xml:space="preserve">] </w:t>
      </w:r>
      <w:r w:rsidR="00941452">
        <w:rPr>
          <w:bCs/>
          <w:lang w:val="en-US"/>
        </w:rPr>
        <w:t xml:space="preserve">that his reasons very similar to those of </w:t>
      </w:r>
      <w:r>
        <w:rPr>
          <w:bCs/>
          <w:lang w:val="en-US"/>
        </w:rPr>
        <w:t>Sullivan</w:t>
      </w:r>
      <w:r w:rsidR="005F6FB1">
        <w:rPr>
          <w:bCs/>
          <w:lang w:val="en-US"/>
        </w:rPr>
        <w:t xml:space="preserve"> LJ in the Court of Appeal.</w:t>
      </w:r>
      <w:r w:rsidR="007F6C67">
        <w:rPr>
          <w:bCs/>
          <w:lang w:val="en-US"/>
        </w:rPr>
        <w:t xml:space="preserve"> </w:t>
      </w:r>
      <w:r w:rsidR="00CB0F10">
        <w:rPr>
          <w:bCs/>
          <w:lang w:val="en-US"/>
        </w:rPr>
        <w:t>It is of not</w:t>
      </w:r>
      <w:r w:rsidR="00A24BCB">
        <w:rPr>
          <w:bCs/>
          <w:lang w:val="en-US"/>
        </w:rPr>
        <w:t>e</w:t>
      </w:r>
      <w:r w:rsidR="00CB0F10">
        <w:rPr>
          <w:bCs/>
          <w:lang w:val="en-US"/>
        </w:rPr>
        <w:t xml:space="preserve"> that </w:t>
      </w:r>
      <w:r w:rsidR="007F6C67">
        <w:rPr>
          <w:bCs/>
          <w:lang w:val="en-US"/>
        </w:rPr>
        <w:t xml:space="preserve">Sullivan LJ </w:t>
      </w:r>
      <w:r w:rsidR="00825756">
        <w:rPr>
          <w:bCs/>
          <w:lang w:val="en-US"/>
        </w:rPr>
        <w:t>had said</w:t>
      </w:r>
      <w:r w:rsidR="007F6C67">
        <w:rPr>
          <w:bCs/>
          <w:lang w:val="en-US"/>
        </w:rPr>
        <w:t xml:space="preserve"> </w:t>
      </w:r>
      <w:r w:rsidR="00A94A7E">
        <w:rPr>
          <w:bCs/>
          <w:lang w:val="en-US"/>
        </w:rPr>
        <w:t>the following</w:t>
      </w:r>
      <w:r w:rsidR="00B22EA0" w:rsidRPr="007F6C67">
        <w:rPr>
          <w:bCs/>
          <w:vertAlign w:val="superscript"/>
          <w:lang w:val="en-US"/>
        </w:rPr>
        <w:footnoteReference w:id="41"/>
      </w:r>
      <w:r w:rsidR="007F6C67" w:rsidRPr="007F6C67">
        <w:rPr>
          <w:bCs/>
          <w:lang w:val="en-US"/>
        </w:rPr>
        <w:t xml:space="preserve">: </w:t>
      </w:r>
    </w:p>
    <w:p w14:paraId="4EB67018" w14:textId="54D5C008" w:rsidR="007F6C67" w:rsidRPr="00F364C0" w:rsidRDefault="00B33F78" w:rsidP="00F364C0">
      <w:pPr>
        <w:pStyle w:val="BodyText"/>
        <w:spacing w:line="360" w:lineRule="auto"/>
        <w:ind w:left="720"/>
        <w:rPr>
          <w:bCs/>
          <w:i/>
          <w:lang w:val="en-US"/>
        </w:rPr>
      </w:pPr>
      <w:r>
        <w:rPr>
          <w:bCs/>
          <w:i/>
          <w:lang w:val="en-US"/>
        </w:rPr>
        <w:t>“</w:t>
      </w:r>
      <w:r w:rsidR="007F6C67" w:rsidRPr="007F6C67">
        <w:rPr>
          <w:bCs/>
          <w:i/>
          <w:lang w:val="en-US"/>
        </w:rPr>
        <w:t>The Minister’s consent having been obtained and the Field having been laid out and thereafter maintained as a recreation ground initially under that express statutory power, and thereafter under its successor, section 12 of the 1985 Act, it seems to me that it would be wholly unreal to conclu</w:t>
      </w:r>
      <w:r>
        <w:rPr>
          <w:bCs/>
          <w:i/>
          <w:lang w:val="en-US"/>
        </w:rPr>
        <w:t>de that the Field had not been ‘</w:t>
      </w:r>
      <w:r w:rsidR="007F6C67" w:rsidRPr="007F6C67">
        <w:rPr>
          <w:bCs/>
          <w:i/>
          <w:lang w:val="en-US"/>
        </w:rPr>
        <w:t>appropriated for t</w:t>
      </w:r>
      <w:r>
        <w:rPr>
          <w:bCs/>
          <w:i/>
          <w:lang w:val="en-US"/>
        </w:rPr>
        <w:t>he purpose of public recreation’</w:t>
      </w:r>
      <w:r w:rsidR="007F6C67" w:rsidRPr="007F6C67">
        <w:rPr>
          <w:bCs/>
          <w:i/>
          <w:lang w:val="en-US"/>
        </w:rPr>
        <w:t xml:space="preserve"> in the sense in which Lord Walker referred to “appropriation” in paragraph 87 of his opinion in </w:t>
      </w:r>
      <w:r w:rsidR="007F6C67" w:rsidRPr="007F6C67">
        <w:rPr>
          <w:bCs/>
          <w:i/>
          <w:iCs/>
          <w:lang w:val="en-US"/>
        </w:rPr>
        <w:t>Beresford.</w:t>
      </w:r>
      <w:r w:rsidR="007F6C67" w:rsidRPr="007F6C67">
        <w:rPr>
          <w:bCs/>
          <w:i/>
          <w:lang w:val="en-US"/>
        </w:rPr>
        <w:t>”</w:t>
      </w:r>
    </w:p>
    <w:p w14:paraId="644EFACA" w14:textId="59C711B5" w:rsidR="005A4365" w:rsidRPr="00DC2DE3" w:rsidRDefault="00270BE7" w:rsidP="00973926">
      <w:pPr>
        <w:pStyle w:val="BodyText"/>
        <w:numPr>
          <w:ilvl w:val="0"/>
          <w:numId w:val="1"/>
        </w:numPr>
        <w:spacing w:line="360" w:lineRule="auto"/>
        <w:jc w:val="both"/>
        <w:rPr>
          <w:bCs/>
        </w:rPr>
      </w:pPr>
      <w:r>
        <w:rPr>
          <w:bCs/>
        </w:rPr>
        <w:t>I take i</w:t>
      </w:r>
      <w:r w:rsidR="006F4DF7">
        <w:rPr>
          <w:bCs/>
        </w:rPr>
        <w:t>t</w:t>
      </w:r>
      <w:r>
        <w:rPr>
          <w:bCs/>
        </w:rPr>
        <w:t xml:space="preserve"> as important to the reasoning of </w:t>
      </w:r>
      <w:r>
        <w:rPr>
          <w:bCs/>
          <w:lang w:val="en-US"/>
        </w:rPr>
        <w:t>Lord Neuberger and Sullivan LJ</w:t>
      </w:r>
      <w:r w:rsidR="000300D1">
        <w:rPr>
          <w:bCs/>
          <w:lang w:val="en-US"/>
        </w:rPr>
        <w:t xml:space="preserve"> (particularly at [42] – [43]</w:t>
      </w:r>
      <w:r w:rsidR="00BA58BC">
        <w:rPr>
          <w:bCs/>
          <w:lang w:val="en-US"/>
        </w:rPr>
        <w:t>)</w:t>
      </w:r>
      <w:r>
        <w:rPr>
          <w:bCs/>
          <w:lang w:val="en-US"/>
        </w:rPr>
        <w:t xml:space="preserve"> that there had been a decision made and ministerial consent obtained to the setting out of </w:t>
      </w:r>
      <w:r w:rsidR="000603ED">
        <w:rPr>
          <w:bCs/>
          <w:lang w:val="en-US"/>
        </w:rPr>
        <w:t>the land as a recreati</w:t>
      </w:r>
      <w:r w:rsidR="004A407E">
        <w:rPr>
          <w:bCs/>
          <w:lang w:val="en-US"/>
        </w:rPr>
        <w:t>on ground under the Housing Act and that the Housing Acts contained a power to do this.</w:t>
      </w:r>
      <w:r w:rsidR="000603ED">
        <w:rPr>
          <w:bCs/>
          <w:lang w:val="en-US"/>
        </w:rPr>
        <w:t xml:space="preserve"> </w:t>
      </w:r>
      <w:r w:rsidR="00DC2DE3">
        <w:rPr>
          <w:bCs/>
        </w:rPr>
        <w:t>I think that is possible to summarise what Lord Neuberger and Sullivan LJ have said into the following</w:t>
      </w:r>
      <w:r w:rsidR="00FC2F29">
        <w:rPr>
          <w:bCs/>
        </w:rPr>
        <w:t xml:space="preserve"> test</w:t>
      </w:r>
      <w:r w:rsidR="00DC2DE3">
        <w:rPr>
          <w:bCs/>
        </w:rPr>
        <w:t xml:space="preserve">: </w:t>
      </w:r>
    </w:p>
    <w:p w14:paraId="2AE6B92F" w14:textId="02D35F7F" w:rsidR="00BA58BC" w:rsidRPr="00BA58BC" w:rsidRDefault="00BA58BC" w:rsidP="009423A4">
      <w:pPr>
        <w:pStyle w:val="BodyText"/>
        <w:numPr>
          <w:ilvl w:val="0"/>
          <w:numId w:val="24"/>
        </w:numPr>
        <w:spacing w:line="360" w:lineRule="auto"/>
        <w:jc w:val="both"/>
        <w:rPr>
          <w:bCs/>
        </w:rPr>
      </w:pPr>
      <w:r w:rsidRPr="00BA58BC">
        <w:rPr>
          <w:bCs/>
        </w:rPr>
        <w:lastRenderedPageBreak/>
        <w:t xml:space="preserve">Did the local authority hold land pursuant to a statute the provisions of which were broad enough to encompass and enable the local authority to make the land available for recreational use? </w:t>
      </w:r>
      <w:r w:rsidR="00AA5D48">
        <w:rPr>
          <w:bCs/>
        </w:rPr>
        <w:t>(i.e.</w:t>
      </w:r>
      <w:r w:rsidR="00557FB7">
        <w:rPr>
          <w:bCs/>
        </w:rPr>
        <w:t xml:space="preserve"> a statute that provided a</w:t>
      </w:r>
      <w:r w:rsidR="00AA5D48">
        <w:rPr>
          <w:bCs/>
        </w:rPr>
        <w:t xml:space="preserve"> power to provide land for recreation</w:t>
      </w:r>
      <w:r w:rsidR="00ED6435">
        <w:rPr>
          <w:bCs/>
        </w:rPr>
        <w:t>al purposes</w:t>
      </w:r>
      <w:r w:rsidR="00AA5D48">
        <w:rPr>
          <w:bCs/>
        </w:rPr>
        <w:t xml:space="preserve">)  </w:t>
      </w:r>
    </w:p>
    <w:p w14:paraId="705B0861" w14:textId="77777777" w:rsidR="00BA58BC" w:rsidRPr="00BA58BC" w:rsidRDefault="00BA58BC" w:rsidP="009423A4">
      <w:pPr>
        <w:pStyle w:val="BodyText"/>
        <w:numPr>
          <w:ilvl w:val="0"/>
          <w:numId w:val="24"/>
        </w:numPr>
        <w:spacing w:line="360" w:lineRule="auto"/>
        <w:jc w:val="both"/>
        <w:rPr>
          <w:bCs/>
        </w:rPr>
      </w:pPr>
      <w:r w:rsidRPr="00BA58BC">
        <w:rPr>
          <w:bCs/>
        </w:rPr>
        <w:t>Did the local authority make a decision to use that land for recreational purposes?</w:t>
      </w:r>
    </w:p>
    <w:p w14:paraId="0793DA08" w14:textId="5808B98A" w:rsidR="00A40621" w:rsidRDefault="00BA58BC" w:rsidP="00062DDA">
      <w:pPr>
        <w:pStyle w:val="BodyText"/>
        <w:numPr>
          <w:ilvl w:val="0"/>
          <w:numId w:val="1"/>
        </w:numPr>
        <w:spacing w:line="360" w:lineRule="auto"/>
        <w:jc w:val="both"/>
        <w:rPr>
          <w:bCs/>
        </w:rPr>
      </w:pPr>
      <w:r>
        <w:rPr>
          <w:bCs/>
        </w:rPr>
        <w:t>If the answer to these two question</w:t>
      </w:r>
      <w:r w:rsidR="006F4DF7">
        <w:rPr>
          <w:bCs/>
        </w:rPr>
        <w:t>s</w:t>
      </w:r>
      <w:r>
        <w:rPr>
          <w:bCs/>
        </w:rPr>
        <w:t xml:space="preserve"> is </w:t>
      </w:r>
      <w:r w:rsidR="00124CBD">
        <w:rPr>
          <w:bCs/>
        </w:rPr>
        <w:t>“</w:t>
      </w:r>
      <w:r>
        <w:rPr>
          <w:bCs/>
        </w:rPr>
        <w:t>yes</w:t>
      </w:r>
      <w:r w:rsidR="00124CBD">
        <w:rPr>
          <w:bCs/>
        </w:rPr>
        <w:t>”</w:t>
      </w:r>
      <w:r>
        <w:rPr>
          <w:bCs/>
        </w:rPr>
        <w:t xml:space="preserve"> then this will amount, in my view and based on the based jurisprudence, to a non-statutory appropriation sufficient to render use </w:t>
      </w:r>
      <w:r w:rsidRPr="008C35FF">
        <w:rPr>
          <w:bCs/>
          <w:i/>
        </w:rPr>
        <w:t>by right</w:t>
      </w:r>
      <w:r>
        <w:rPr>
          <w:bCs/>
        </w:rPr>
        <w:t xml:space="preserve">. </w:t>
      </w:r>
    </w:p>
    <w:p w14:paraId="67C21AA3" w14:textId="77777777" w:rsidR="00306FA7" w:rsidRDefault="00385DE9" w:rsidP="00306FA7">
      <w:pPr>
        <w:pStyle w:val="BodyText"/>
        <w:numPr>
          <w:ilvl w:val="0"/>
          <w:numId w:val="1"/>
        </w:numPr>
        <w:spacing w:line="360" w:lineRule="auto"/>
        <w:jc w:val="both"/>
        <w:rPr>
          <w:bCs/>
        </w:rPr>
      </w:pPr>
      <w:r>
        <w:rPr>
          <w:bCs/>
        </w:rPr>
        <w:t xml:space="preserve">This is supported I think by </w:t>
      </w:r>
      <w:r w:rsidR="00534602">
        <w:rPr>
          <w:bCs/>
        </w:rPr>
        <w:t xml:space="preserve">what </w:t>
      </w:r>
      <w:r>
        <w:rPr>
          <w:bCs/>
        </w:rPr>
        <w:t xml:space="preserve">Lord Neuberger and Lord </w:t>
      </w:r>
      <w:proofErr w:type="spellStart"/>
      <w:r>
        <w:rPr>
          <w:bCs/>
        </w:rPr>
        <w:t>Carnwath</w:t>
      </w:r>
      <w:proofErr w:type="spellEnd"/>
      <w:r>
        <w:rPr>
          <w:bCs/>
        </w:rPr>
        <w:t xml:space="preserve"> </w:t>
      </w:r>
      <w:r w:rsidR="007452CA">
        <w:rPr>
          <w:bCs/>
        </w:rPr>
        <w:t>said in</w:t>
      </w:r>
      <w:r>
        <w:rPr>
          <w:bCs/>
        </w:rPr>
        <w:t xml:space="preserve"> </w:t>
      </w:r>
      <w:r>
        <w:rPr>
          <w:bCs/>
          <w:i/>
        </w:rPr>
        <w:t xml:space="preserve">Barkas </w:t>
      </w:r>
      <w:r w:rsidR="007452CA">
        <w:rPr>
          <w:bCs/>
        </w:rPr>
        <w:t xml:space="preserve">as to why </w:t>
      </w:r>
      <w:r w:rsidR="007452CA">
        <w:rPr>
          <w:bCs/>
          <w:i/>
        </w:rPr>
        <w:t xml:space="preserve">Beresford </w:t>
      </w:r>
      <w:r w:rsidR="007452CA">
        <w:rPr>
          <w:bCs/>
        </w:rPr>
        <w:t xml:space="preserve">was wrongly decided. </w:t>
      </w:r>
      <w:r w:rsidR="00596EA9">
        <w:rPr>
          <w:bCs/>
        </w:rPr>
        <w:t xml:space="preserve">Lord Neuberger agreed at [49] with the reasons given by Lord </w:t>
      </w:r>
      <w:proofErr w:type="spellStart"/>
      <w:r w:rsidR="00596EA9">
        <w:rPr>
          <w:bCs/>
        </w:rPr>
        <w:t>Carnwath</w:t>
      </w:r>
      <w:proofErr w:type="spellEnd"/>
      <w:r w:rsidR="001F6824">
        <w:rPr>
          <w:bCs/>
        </w:rPr>
        <w:t xml:space="preserve">. </w:t>
      </w:r>
      <w:r w:rsidR="008374FF">
        <w:rPr>
          <w:bCs/>
        </w:rPr>
        <w:t xml:space="preserve">Lord </w:t>
      </w:r>
      <w:proofErr w:type="spellStart"/>
      <w:r w:rsidR="008374FF">
        <w:rPr>
          <w:bCs/>
        </w:rPr>
        <w:t>Carnw</w:t>
      </w:r>
      <w:r w:rsidR="00BB3FC3">
        <w:rPr>
          <w:bCs/>
        </w:rPr>
        <w:t>ath</w:t>
      </w:r>
      <w:proofErr w:type="spellEnd"/>
      <w:r w:rsidR="00BB3FC3">
        <w:rPr>
          <w:bCs/>
        </w:rPr>
        <w:t xml:space="preserve"> explained the effect of the New Towns Act, stating in respect of a 1973 N</w:t>
      </w:r>
      <w:r w:rsidR="002731D5">
        <w:rPr>
          <w:bCs/>
        </w:rPr>
        <w:t xml:space="preserve">ew Town Plan </w:t>
      </w:r>
      <w:r w:rsidR="005C16D0">
        <w:rPr>
          <w:bCs/>
        </w:rPr>
        <w:t xml:space="preserve">that identified the </w:t>
      </w:r>
      <w:r w:rsidR="005C16D0">
        <w:rPr>
          <w:bCs/>
          <w:i/>
        </w:rPr>
        <w:t xml:space="preserve">Beresford </w:t>
      </w:r>
      <w:r w:rsidR="005C16D0">
        <w:rPr>
          <w:bCs/>
        </w:rPr>
        <w:t>application land for “parkland</w:t>
      </w:r>
      <w:r w:rsidR="003B1DD3">
        <w:rPr>
          <w:bCs/>
        </w:rPr>
        <w:t>/open space/major playing field”</w:t>
      </w:r>
      <w:r w:rsidR="00523559">
        <w:rPr>
          <w:bCs/>
        </w:rPr>
        <w:t>:</w:t>
      </w:r>
    </w:p>
    <w:p w14:paraId="2D4B095C" w14:textId="1C84D11C" w:rsidR="00306FA7" w:rsidRPr="00306FA7" w:rsidRDefault="00306FA7" w:rsidP="00306FA7">
      <w:pPr>
        <w:pStyle w:val="BodyText"/>
        <w:spacing w:line="360" w:lineRule="auto"/>
        <w:ind w:left="720"/>
        <w:jc w:val="both"/>
        <w:rPr>
          <w:bCs/>
          <w:i/>
        </w:rPr>
      </w:pPr>
      <w:r w:rsidRPr="00306FA7">
        <w:rPr>
          <w:bCs/>
          <w:i/>
          <w:lang w:val="en-US"/>
        </w:rPr>
        <w:t>This statutory framework in my view provides a complete answer to Lord Walker's concern as to the lack of any "formal appropriation" of the land as recreational open space (para 90). As Lord Neuberger has observed, he does not seem to have been using the word appropriation in any specific statutory sense. In any event, the general powers conferred by section 3 were amply sufficient to include making land such as this available for public recreation, pending any further development proposals. Assuming (in the absence of any indication to the contrary) that the 1973 plan was duly submitted to and approved by the Minister under section 6, the proposal for recreational use of the arena area would have become a formal and approved part of its proposals for the use of the land in its area. Planning permission would have been required for the change of use for that purpose, but would normally have been granted as a matter of course by special development order pursuant to section 6(2).</w:t>
      </w:r>
    </w:p>
    <w:p w14:paraId="32B2D5AE" w14:textId="44FF31FB" w:rsidR="00306FA7" w:rsidRDefault="002A531E" w:rsidP="00966E00">
      <w:pPr>
        <w:pStyle w:val="BodyText"/>
        <w:numPr>
          <w:ilvl w:val="0"/>
          <w:numId w:val="1"/>
        </w:numPr>
        <w:spacing w:line="360" w:lineRule="auto"/>
        <w:jc w:val="both"/>
        <w:rPr>
          <w:bCs/>
        </w:rPr>
      </w:pPr>
      <w:r>
        <w:rPr>
          <w:bCs/>
        </w:rPr>
        <w:t xml:space="preserve">However, </w:t>
      </w:r>
      <w:r w:rsidR="00A31F16">
        <w:rPr>
          <w:bCs/>
        </w:rPr>
        <w:t xml:space="preserve">Lord </w:t>
      </w:r>
      <w:proofErr w:type="spellStart"/>
      <w:r w:rsidR="00A31F16">
        <w:rPr>
          <w:bCs/>
        </w:rPr>
        <w:t>Carnwath</w:t>
      </w:r>
      <w:proofErr w:type="spellEnd"/>
      <w:r w:rsidR="00A31F16">
        <w:rPr>
          <w:bCs/>
        </w:rPr>
        <w:t xml:space="preserve"> </w:t>
      </w:r>
      <w:r w:rsidR="004E06A5">
        <w:rPr>
          <w:bCs/>
        </w:rPr>
        <w:t>said expressly</w:t>
      </w:r>
      <w:r w:rsidR="00FC68FB">
        <w:rPr>
          <w:bCs/>
        </w:rPr>
        <w:t xml:space="preserve"> at </w:t>
      </w:r>
      <w:r w:rsidR="00C5544B">
        <w:rPr>
          <w:bCs/>
        </w:rPr>
        <w:t xml:space="preserve">[70] </w:t>
      </w:r>
      <w:r w:rsidR="004E06A5">
        <w:rPr>
          <w:bCs/>
        </w:rPr>
        <w:t>that his judgment</w:t>
      </w:r>
      <w:r w:rsidR="00A31F16">
        <w:rPr>
          <w:bCs/>
        </w:rPr>
        <w:t xml:space="preserve"> went further </w:t>
      </w:r>
      <w:r w:rsidR="00CD5EA2">
        <w:rPr>
          <w:bCs/>
        </w:rPr>
        <w:t>than Lord Neuberger.</w:t>
      </w:r>
      <w:r w:rsidR="00A31F16">
        <w:rPr>
          <w:bCs/>
        </w:rPr>
        <w:t xml:space="preserve"> </w:t>
      </w:r>
      <w:r w:rsidR="00966E00">
        <w:rPr>
          <w:bCs/>
        </w:rPr>
        <w:t xml:space="preserve">Rather confusingly, Lord </w:t>
      </w:r>
      <w:proofErr w:type="spellStart"/>
      <w:r w:rsidR="00966E00">
        <w:rPr>
          <w:bCs/>
        </w:rPr>
        <w:t>Carnwath</w:t>
      </w:r>
      <w:proofErr w:type="spellEnd"/>
      <w:r w:rsidR="00966E00">
        <w:rPr>
          <w:bCs/>
        </w:rPr>
        <w:t xml:space="preserve"> </w:t>
      </w:r>
      <w:r w:rsidR="0006777E">
        <w:rPr>
          <w:bCs/>
        </w:rPr>
        <w:t xml:space="preserve">referred to </w:t>
      </w:r>
      <w:r w:rsidR="0006777E">
        <w:rPr>
          <w:bCs/>
          <w:i/>
        </w:rPr>
        <w:t xml:space="preserve">Beresford </w:t>
      </w:r>
      <w:r w:rsidR="0006777E">
        <w:rPr>
          <w:bCs/>
        </w:rPr>
        <w:t xml:space="preserve">again </w:t>
      </w:r>
      <w:r w:rsidR="002C058B">
        <w:rPr>
          <w:bCs/>
        </w:rPr>
        <w:t>in the penultimate paragraph of his judgment</w:t>
      </w:r>
      <w:r w:rsidR="004A153A">
        <w:rPr>
          <w:bCs/>
        </w:rPr>
        <w:t xml:space="preserve"> and said this:</w:t>
      </w:r>
    </w:p>
    <w:p w14:paraId="14897C29" w14:textId="3A7A57D0" w:rsidR="005B6172" w:rsidRPr="00DD2A4B" w:rsidRDefault="00A9296C" w:rsidP="002C058B">
      <w:pPr>
        <w:pStyle w:val="BodyText"/>
        <w:spacing w:line="360" w:lineRule="auto"/>
        <w:ind w:left="720"/>
        <w:jc w:val="both"/>
        <w:rPr>
          <w:bCs/>
        </w:rPr>
      </w:pPr>
      <w:r>
        <w:rPr>
          <w:bCs/>
          <w:i/>
          <w:lang w:val="en-US"/>
        </w:rPr>
        <w:t>“</w:t>
      </w:r>
      <w:r w:rsidR="00A71A98">
        <w:rPr>
          <w:bCs/>
          <w:i/>
          <w:lang w:val="en-US"/>
        </w:rPr>
        <w:t>If ‘appropriation’</w:t>
      </w:r>
      <w:r w:rsidR="002C058B" w:rsidRPr="002C058B">
        <w:rPr>
          <w:bCs/>
          <w:i/>
          <w:lang w:val="en-US"/>
        </w:rPr>
        <w:t xml:space="preserve"> in that sense was required, then the new town plan provided it. However such legal analysis is not necessary to support the registration authority's </w:t>
      </w:r>
      <w:r w:rsidR="002C058B" w:rsidRPr="002C058B">
        <w:rPr>
          <w:bCs/>
          <w:i/>
          <w:lang w:val="en-US"/>
        </w:rPr>
        <w:lastRenderedPageBreak/>
        <w:t>decision. As I have said, on the material before them they were clearly entitled to reach the conclusion that the use by the public was implicitly approved by the corporation; indeed there was no reason to infer anything else.</w:t>
      </w:r>
      <w:r w:rsidR="00DD2A4B">
        <w:rPr>
          <w:bCs/>
          <w:lang w:val="en-US"/>
        </w:rPr>
        <w:t>”</w:t>
      </w:r>
    </w:p>
    <w:p w14:paraId="60C1E36A" w14:textId="56CEFB61" w:rsidR="00B70DB1" w:rsidRDefault="006342A7" w:rsidP="00234ED6">
      <w:pPr>
        <w:pStyle w:val="BodyText"/>
        <w:numPr>
          <w:ilvl w:val="0"/>
          <w:numId w:val="1"/>
        </w:numPr>
        <w:spacing w:line="360" w:lineRule="auto"/>
        <w:jc w:val="both"/>
        <w:rPr>
          <w:bCs/>
        </w:rPr>
      </w:pPr>
      <w:r>
        <w:rPr>
          <w:bCs/>
        </w:rPr>
        <w:t>G</w:t>
      </w:r>
      <w:r w:rsidR="002C7886">
        <w:rPr>
          <w:bCs/>
        </w:rPr>
        <w:t xml:space="preserve">iven that all of Lord </w:t>
      </w:r>
      <w:proofErr w:type="spellStart"/>
      <w:r w:rsidR="002C7886">
        <w:rPr>
          <w:bCs/>
        </w:rPr>
        <w:t>Carnwath’s</w:t>
      </w:r>
      <w:proofErr w:type="spellEnd"/>
      <w:r w:rsidR="002C7886">
        <w:rPr>
          <w:bCs/>
        </w:rPr>
        <w:t xml:space="preserve"> judgment was agreed with</w:t>
      </w:r>
      <w:r w:rsidR="00F77D29">
        <w:rPr>
          <w:bCs/>
        </w:rPr>
        <w:t xml:space="preserve"> in its </w:t>
      </w:r>
      <w:r w:rsidR="00BE1C26">
        <w:rPr>
          <w:bCs/>
        </w:rPr>
        <w:t>entirety</w:t>
      </w:r>
      <w:r w:rsidR="002C7886">
        <w:rPr>
          <w:bCs/>
        </w:rPr>
        <w:t xml:space="preserve"> by all the other Just</w:t>
      </w:r>
      <w:r>
        <w:rPr>
          <w:bCs/>
        </w:rPr>
        <w:t>ices save Lord Neuberger these words merit close examination.</w:t>
      </w:r>
      <w:r w:rsidR="005918A7">
        <w:rPr>
          <w:bCs/>
        </w:rPr>
        <w:t xml:space="preserve"> </w:t>
      </w:r>
      <w:r w:rsidR="00D321AC">
        <w:rPr>
          <w:bCs/>
        </w:rPr>
        <w:t xml:space="preserve">On one view </w:t>
      </w:r>
      <w:r w:rsidR="00BE1C26">
        <w:rPr>
          <w:bCs/>
        </w:rPr>
        <w:t xml:space="preserve">what Lord </w:t>
      </w:r>
      <w:proofErr w:type="spellStart"/>
      <w:r w:rsidR="00BE1C26">
        <w:rPr>
          <w:bCs/>
        </w:rPr>
        <w:t>Carnwath</w:t>
      </w:r>
      <w:proofErr w:type="spellEnd"/>
      <w:r w:rsidR="00BE1C26">
        <w:rPr>
          <w:bCs/>
        </w:rPr>
        <w:t xml:space="preserve"> says here</w:t>
      </w:r>
      <w:r w:rsidR="00D321AC">
        <w:rPr>
          <w:bCs/>
        </w:rPr>
        <w:t xml:space="preserve"> seems close to the proposition that where land is set out for public use then it will be, by inference, with the permission </w:t>
      </w:r>
      <w:r w:rsidR="00044D81">
        <w:rPr>
          <w:bCs/>
        </w:rPr>
        <w:t>of the local authority (</w:t>
      </w:r>
      <w:r w:rsidR="00BE7B5C">
        <w:rPr>
          <w:bCs/>
        </w:rPr>
        <w:t>i.e.</w:t>
      </w:r>
      <w:r w:rsidR="00044D81">
        <w:rPr>
          <w:bCs/>
        </w:rPr>
        <w:t xml:space="preserve"> the reverse of the </w:t>
      </w:r>
      <w:r w:rsidR="00F85F02">
        <w:rPr>
          <w:bCs/>
        </w:rPr>
        <w:t>position</w:t>
      </w:r>
      <w:r w:rsidR="00044D81">
        <w:rPr>
          <w:bCs/>
        </w:rPr>
        <w:t xml:space="preserve"> set out in </w:t>
      </w:r>
      <w:r w:rsidR="00044D81">
        <w:rPr>
          <w:bCs/>
          <w:i/>
        </w:rPr>
        <w:t>Beresford</w:t>
      </w:r>
      <w:r w:rsidR="00CB040D">
        <w:rPr>
          <w:bCs/>
        </w:rPr>
        <w:t xml:space="preserve">). In my view, reading the judgment as a whole </w:t>
      </w:r>
      <w:r w:rsidR="00852C6D">
        <w:rPr>
          <w:bCs/>
        </w:rPr>
        <w:t xml:space="preserve">what I take Lord </w:t>
      </w:r>
      <w:proofErr w:type="spellStart"/>
      <w:r w:rsidR="00852C6D">
        <w:rPr>
          <w:bCs/>
        </w:rPr>
        <w:t>Carnwath</w:t>
      </w:r>
      <w:proofErr w:type="spellEnd"/>
      <w:r w:rsidR="00852C6D">
        <w:rPr>
          <w:bCs/>
        </w:rPr>
        <w:t xml:space="preserve"> to be saying (see particularly [</w:t>
      </w:r>
      <w:r w:rsidR="00DD766D">
        <w:rPr>
          <w:bCs/>
        </w:rPr>
        <w:t>81</w:t>
      </w:r>
      <w:r w:rsidR="00852C6D">
        <w:rPr>
          <w:bCs/>
        </w:rPr>
        <w:t>]</w:t>
      </w:r>
      <w:r w:rsidR="00DD766D">
        <w:rPr>
          <w:bCs/>
        </w:rPr>
        <w:t xml:space="preserve"> – [86]</w:t>
      </w:r>
      <w:r w:rsidR="00852C6D">
        <w:rPr>
          <w:bCs/>
        </w:rPr>
        <w:t xml:space="preserve">) is that where land has been set out for recreation by a local authority and maintained as such there will be a strong inference </w:t>
      </w:r>
      <w:r w:rsidR="00011CF6">
        <w:rPr>
          <w:bCs/>
        </w:rPr>
        <w:t xml:space="preserve">that </w:t>
      </w:r>
      <w:r w:rsidR="002C448F">
        <w:rPr>
          <w:bCs/>
        </w:rPr>
        <w:t>this has been done</w:t>
      </w:r>
      <w:r w:rsidR="00D04A4D">
        <w:rPr>
          <w:bCs/>
        </w:rPr>
        <w:t xml:space="preserve"> lawfully and</w:t>
      </w:r>
      <w:r w:rsidR="002C448F">
        <w:rPr>
          <w:bCs/>
        </w:rPr>
        <w:t xml:space="preserve"> pursuant to statutory powers. </w:t>
      </w:r>
      <w:r w:rsidR="00246BA9">
        <w:rPr>
          <w:bCs/>
        </w:rPr>
        <w:t xml:space="preserve">It seems to me however that if it can be </w:t>
      </w:r>
      <w:r w:rsidR="00A33478">
        <w:rPr>
          <w:bCs/>
        </w:rPr>
        <w:t>demonstrated</w:t>
      </w:r>
      <w:r w:rsidR="00246BA9">
        <w:rPr>
          <w:bCs/>
        </w:rPr>
        <w:t xml:space="preserve"> </w:t>
      </w:r>
      <w:r w:rsidR="00476516">
        <w:rPr>
          <w:bCs/>
        </w:rPr>
        <w:t xml:space="preserve">(or evidence produced that puts the matter in issue) </w:t>
      </w:r>
      <w:r w:rsidR="00246BA9">
        <w:rPr>
          <w:bCs/>
        </w:rPr>
        <w:t xml:space="preserve">that the authority did not provide the land under statutory powers or that a decision </w:t>
      </w:r>
      <w:r w:rsidR="002524FB">
        <w:rPr>
          <w:bCs/>
        </w:rPr>
        <w:t xml:space="preserve">was never taken to lawfully allocate the land </w:t>
      </w:r>
      <w:r w:rsidR="006B51D1">
        <w:rPr>
          <w:bCs/>
        </w:rPr>
        <w:t xml:space="preserve">for recreation then </w:t>
      </w:r>
      <w:r w:rsidR="005C0BE5">
        <w:rPr>
          <w:bCs/>
        </w:rPr>
        <w:t>any such</w:t>
      </w:r>
      <w:r w:rsidR="004821A9">
        <w:rPr>
          <w:bCs/>
        </w:rPr>
        <w:t xml:space="preserve"> inference will be destroyed (see also Lord </w:t>
      </w:r>
      <w:proofErr w:type="spellStart"/>
      <w:r w:rsidR="004821A9">
        <w:rPr>
          <w:bCs/>
        </w:rPr>
        <w:t>Carnwath’s</w:t>
      </w:r>
      <w:proofErr w:type="spellEnd"/>
      <w:r w:rsidR="004821A9">
        <w:rPr>
          <w:bCs/>
        </w:rPr>
        <w:t xml:space="preserve"> treatment</w:t>
      </w:r>
      <w:r w:rsidR="003D1013">
        <w:rPr>
          <w:bCs/>
        </w:rPr>
        <w:t xml:space="preserve"> of the </w:t>
      </w:r>
      <w:r w:rsidR="003D1013">
        <w:rPr>
          <w:bCs/>
          <w:i/>
        </w:rPr>
        <w:t xml:space="preserve">Trap Grounds </w:t>
      </w:r>
      <w:r w:rsidR="003D1013">
        <w:rPr>
          <w:bCs/>
        </w:rPr>
        <w:t xml:space="preserve">case at </w:t>
      </w:r>
      <w:r w:rsidR="00A31F16">
        <w:rPr>
          <w:bCs/>
        </w:rPr>
        <w:t>[</w:t>
      </w:r>
      <w:r w:rsidR="00FC68FB">
        <w:rPr>
          <w:bCs/>
        </w:rPr>
        <w:t>66]</w:t>
      </w:r>
      <w:r w:rsidR="007C3104">
        <w:rPr>
          <w:bCs/>
        </w:rPr>
        <w:t xml:space="preserve">). In my view, if Lord </w:t>
      </w:r>
      <w:proofErr w:type="spellStart"/>
      <w:r w:rsidR="007C3104">
        <w:rPr>
          <w:bCs/>
        </w:rPr>
        <w:t>Carn</w:t>
      </w:r>
      <w:r w:rsidR="005443D8">
        <w:rPr>
          <w:bCs/>
        </w:rPr>
        <w:t>wath</w:t>
      </w:r>
      <w:proofErr w:type="spellEnd"/>
      <w:r w:rsidR="005443D8">
        <w:rPr>
          <w:bCs/>
        </w:rPr>
        <w:t xml:space="preserve"> had meant to say that wherever</w:t>
      </w:r>
      <w:r w:rsidR="007C3104">
        <w:rPr>
          <w:bCs/>
        </w:rPr>
        <w:t xml:space="preserve"> land is maintained by the local authority as a recreational area it </w:t>
      </w:r>
      <w:r w:rsidR="00D9416E">
        <w:rPr>
          <w:bCs/>
        </w:rPr>
        <w:t>can never</w:t>
      </w:r>
      <w:r w:rsidR="007C3104">
        <w:rPr>
          <w:bCs/>
        </w:rPr>
        <w:t xml:space="preserve"> be registered</w:t>
      </w:r>
      <w:r w:rsidR="00AA5A56">
        <w:rPr>
          <w:bCs/>
        </w:rPr>
        <w:t xml:space="preserve"> as a green</w:t>
      </w:r>
      <w:r w:rsidR="007C3104">
        <w:rPr>
          <w:bCs/>
        </w:rPr>
        <w:t xml:space="preserve"> he would h</w:t>
      </w:r>
      <w:r w:rsidR="00B57B46">
        <w:rPr>
          <w:bCs/>
        </w:rPr>
        <w:t xml:space="preserve">ave done so in very clear terms and one would have expected Lord Neuberger </w:t>
      </w:r>
      <w:r w:rsidR="00B90ECC">
        <w:rPr>
          <w:bCs/>
        </w:rPr>
        <w:t xml:space="preserve">to have remarked on this point of </w:t>
      </w:r>
      <w:r w:rsidR="00600389">
        <w:rPr>
          <w:bCs/>
        </w:rPr>
        <w:t>departure</w:t>
      </w:r>
      <w:r w:rsidR="00B90ECC">
        <w:rPr>
          <w:bCs/>
        </w:rPr>
        <w:t>.</w:t>
      </w:r>
      <w:r w:rsidR="00600389">
        <w:rPr>
          <w:bCs/>
        </w:rPr>
        <w:t xml:space="preserve"> </w:t>
      </w:r>
      <w:r w:rsidR="00B90ECC">
        <w:rPr>
          <w:bCs/>
        </w:rPr>
        <w:t xml:space="preserve"> </w:t>
      </w:r>
      <w:r w:rsidR="00112B96">
        <w:rPr>
          <w:bCs/>
        </w:rPr>
        <w:t xml:space="preserve"> </w:t>
      </w:r>
    </w:p>
    <w:p w14:paraId="4D419173" w14:textId="4DE67ADC" w:rsidR="00AB3894" w:rsidRPr="0083418B" w:rsidRDefault="0044712C" w:rsidP="00234ED6">
      <w:pPr>
        <w:pStyle w:val="BodyText"/>
        <w:numPr>
          <w:ilvl w:val="0"/>
          <w:numId w:val="1"/>
        </w:numPr>
        <w:spacing w:line="360" w:lineRule="auto"/>
        <w:jc w:val="both"/>
        <w:rPr>
          <w:b/>
          <w:bCs/>
          <w:lang w:val="en-US"/>
        </w:rPr>
      </w:pPr>
      <w:r>
        <w:rPr>
          <w:bCs/>
        </w:rPr>
        <w:t xml:space="preserve">I should also make reference to </w:t>
      </w:r>
      <w:r w:rsidRPr="0044712C">
        <w:rPr>
          <w:bCs/>
          <w:i/>
          <w:lang w:val="en-US"/>
        </w:rPr>
        <w:t xml:space="preserve">Third </w:t>
      </w:r>
      <w:proofErr w:type="spellStart"/>
      <w:r w:rsidRPr="0044712C">
        <w:rPr>
          <w:bCs/>
          <w:i/>
          <w:lang w:val="en-US"/>
        </w:rPr>
        <w:t>Greytown</w:t>
      </w:r>
      <w:proofErr w:type="spellEnd"/>
      <w:r w:rsidRPr="0044712C">
        <w:rPr>
          <w:bCs/>
          <w:i/>
          <w:lang w:val="en-US"/>
        </w:rPr>
        <w:t xml:space="preserve"> Properties Ltd v Peterborough Corporation</w:t>
      </w:r>
      <w:r w:rsidRPr="0044712C">
        <w:rPr>
          <w:bCs/>
          <w:lang w:val="en-US"/>
        </w:rPr>
        <w:t xml:space="preserve"> [1973] 3 All ER 731</w:t>
      </w:r>
      <w:r w:rsidR="004C09E7">
        <w:rPr>
          <w:bCs/>
          <w:lang w:val="en-US"/>
        </w:rPr>
        <w:t xml:space="preserve"> which is authority for the proposition that land </w:t>
      </w:r>
      <w:r w:rsidR="004C09E7" w:rsidRPr="004C09E7">
        <w:rPr>
          <w:bCs/>
        </w:rPr>
        <w:t xml:space="preserve">is not </w:t>
      </w:r>
      <w:r w:rsidR="004C09E7">
        <w:rPr>
          <w:bCs/>
        </w:rPr>
        <w:t xml:space="preserve">appropriated, or held, for a particular statutory purpose simply because this has been the factual purpose for which the </w:t>
      </w:r>
      <w:r w:rsidR="00BD6255">
        <w:rPr>
          <w:bCs/>
        </w:rPr>
        <w:t xml:space="preserve">land has been put to. In that case, land continued to be held under the Open Spaces Act 1906 even though </w:t>
      </w:r>
      <w:r w:rsidR="00DD7BCD">
        <w:rPr>
          <w:bCs/>
        </w:rPr>
        <w:t>it had been covered with buildings.</w:t>
      </w:r>
      <w:r w:rsidR="004C09E7">
        <w:rPr>
          <w:bCs/>
        </w:rPr>
        <w:t xml:space="preserve"> </w:t>
      </w:r>
    </w:p>
    <w:p w14:paraId="1CA079E7" w14:textId="149E08BE" w:rsidR="009C70CC" w:rsidRPr="00AC7F49" w:rsidRDefault="003155BA" w:rsidP="00062DDA">
      <w:pPr>
        <w:pStyle w:val="BodyText"/>
        <w:spacing w:line="360" w:lineRule="auto"/>
        <w:jc w:val="both"/>
        <w:rPr>
          <w:rFonts w:cs="Arial"/>
          <w:b/>
          <w:bCs/>
          <w:u w:val="single"/>
        </w:rPr>
      </w:pPr>
      <w:r>
        <w:rPr>
          <w:rFonts w:cs="Arial"/>
          <w:b/>
          <w:bCs/>
          <w:u w:val="single"/>
        </w:rPr>
        <w:t xml:space="preserve">Did the byelaws </w:t>
      </w:r>
      <w:r w:rsidR="00526725">
        <w:rPr>
          <w:rFonts w:cs="Arial"/>
          <w:b/>
          <w:bCs/>
          <w:u w:val="single"/>
        </w:rPr>
        <w:t>“</w:t>
      </w:r>
      <w:r>
        <w:rPr>
          <w:rFonts w:cs="Arial"/>
          <w:b/>
          <w:bCs/>
          <w:u w:val="single"/>
        </w:rPr>
        <w:t>appropriate</w:t>
      </w:r>
      <w:r w:rsidR="00526725">
        <w:rPr>
          <w:rFonts w:cs="Arial"/>
          <w:b/>
          <w:bCs/>
          <w:u w:val="single"/>
        </w:rPr>
        <w:t>”</w:t>
      </w:r>
      <w:r>
        <w:rPr>
          <w:rFonts w:cs="Arial"/>
          <w:b/>
          <w:bCs/>
          <w:u w:val="single"/>
        </w:rPr>
        <w:t xml:space="preserve"> the remainder of the </w:t>
      </w:r>
      <w:r w:rsidR="00AE3B07">
        <w:rPr>
          <w:rFonts w:cs="Arial"/>
          <w:b/>
          <w:bCs/>
          <w:u w:val="single"/>
        </w:rPr>
        <w:t xml:space="preserve">application land? </w:t>
      </w:r>
    </w:p>
    <w:p w14:paraId="39BE9B75" w14:textId="7E089C6A" w:rsidR="002565F8" w:rsidRDefault="002565F8" w:rsidP="00B11187">
      <w:pPr>
        <w:pStyle w:val="BodyText"/>
        <w:numPr>
          <w:ilvl w:val="0"/>
          <w:numId w:val="1"/>
        </w:numPr>
        <w:spacing w:line="360" w:lineRule="auto"/>
        <w:jc w:val="both"/>
        <w:rPr>
          <w:rFonts w:cs="Arial"/>
          <w:bCs/>
        </w:rPr>
      </w:pPr>
      <w:r>
        <w:rPr>
          <w:rFonts w:cs="Arial"/>
          <w:bCs/>
        </w:rPr>
        <w:t>I will now seek to apply the legal principles that I have outlined a</w:t>
      </w:r>
      <w:r w:rsidR="00747023">
        <w:rPr>
          <w:rFonts w:cs="Arial"/>
          <w:bCs/>
        </w:rPr>
        <w:t>bove to the facts of this case on the byelaw issue.</w:t>
      </w:r>
      <w:r w:rsidR="005B1006">
        <w:rPr>
          <w:rFonts w:cs="Arial"/>
          <w:bCs/>
        </w:rPr>
        <w:t xml:space="preserve"> In doing so </w:t>
      </w:r>
      <w:r w:rsidR="00CC0675">
        <w:rPr>
          <w:rFonts w:cs="Arial"/>
          <w:bCs/>
        </w:rPr>
        <w:t>I have taken account of the skeleton arguments produced by both sides</w:t>
      </w:r>
      <w:r w:rsidR="007D1AFB">
        <w:rPr>
          <w:rFonts w:cs="Arial"/>
          <w:bCs/>
        </w:rPr>
        <w:t xml:space="preserve"> (albeit the Applicant concede</w:t>
      </w:r>
      <w:r w:rsidR="004B4D48">
        <w:rPr>
          <w:rFonts w:cs="Arial"/>
          <w:bCs/>
        </w:rPr>
        <w:t>d</w:t>
      </w:r>
      <w:r w:rsidR="007D1AFB">
        <w:rPr>
          <w:rFonts w:cs="Arial"/>
          <w:bCs/>
        </w:rPr>
        <w:t xml:space="preserve"> the point)</w:t>
      </w:r>
      <w:r w:rsidR="00CC0675">
        <w:rPr>
          <w:rFonts w:cs="Arial"/>
          <w:bCs/>
        </w:rPr>
        <w:t xml:space="preserve"> and, with respect to those argument</w:t>
      </w:r>
      <w:r w:rsidR="00EE58F0">
        <w:rPr>
          <w:rFonts w:cs="Arial"/>
          <w:bCs/>
        </w:rPr>
        <w:t>s</w:t>
      </w:r>
      <w:r w:rsidR="003F2DBD">
        <w:rPr>
          <w:rFonts w:cs="Arial"/>
          <w:bCs/>
        </w:rPr>
        <w:t xml:space="preserve"> and discussions</w:t>
      </w:r>
      <w:r w:rsidR="003B0829">
        <w:rPr>
          <w:rFonts w:cs="Arial"/>
          <w:bCs/>
        </w:rPr>
        <w:t xml:space="preserve"> at the inquiry</w:t>
      </w:r>
      <w:r w:rsidR="00CC0675">
        <w:rPr>
          <w:rFonts w:cs="Arial"/>
          <w:bCs/>
        </w:rPr>
        <w:t xml:space="preserve">, </w:t>
      </w:r>
      <w:r w:rsidR="00F73D28">
        <w:rPr>
          <w:rFonts w:cs="Arial"/>
          <w:bCs/>
        </w:rPr>
        <w:t xml:space="preserve">I </w:t>
      </w:r>
      <w:r w:rsidR="00CC0675">
        <w:rPr>
          <w:rFonts w:cs="Arial"/>
          <w:bCs/>
        </w:rPr>
        <w:t>shall try and state the matter as simply as I can.</w:t>
      </w:r>
    </w:p>
    <w:p w14:paraId="104EA9F9" w14:textId="37FF1404" w:rsidR="004046F6" w:rsidRPr="001E2C16" w:rsidRDefault="000271FD" w:rsidP="00B11187">
      <w:pPr>
        <w:pStyle w:val="BodyText"/>
        <w:numPr>
          <w:ilvl w:val="0"/>
          <w:numId w:val="1"/>
        </w:numPr>
        <w:spacing w:line="360" w:lineRule="auto"/>
        <w:jc w:val="both"/>
        <w:rPr>
          <w:rFonts w:cs="Arial"/>
          <w:bCs/>
        </w:rPr>
      </w:pPr>
      <w:r>
        <w:rPr>
          <w:rFonts w:cs="Arial"/>
          <w:bCs/>
        </w:rPr>
        <w:lastRenderedPageBreak/>
        <w:t xml:space="preserve">The starting point it seems to me must be that this is not a case of an express or inferred appropriation, even if one broadens the latter out to cover the broader </w:t>
      </w:r>
      <w:r w:rsidR="00B816A9">
        <w:rPr>
          <w:rFonts w:cs="Arial"/>
          <w:bCs/>
        </w:rPr>
        <w:t>circumstanc</w:t>
      </w:r>
      <w:r w:rsidR="00854C72">
        <w:rPr>
          <w:rFonts w:cs="Arial"/>
          <w:bCs/>
        </w:rPr>
        <w:t>es</w:t>
      </w:r>
      <w:r w:rsidR="003879BC">
        <w:rPr>
          <w:rFonts w:cs="Arial"/>
          <w:bCs/>
        </w:rPr>
        <w:t xml:space="preserve"> suggested by Lord </w:t>
      </w:r>
      <w:proofErr w:type="spellStart"/>
      <w:r w:rsidR="003879BC">
        <w:rPr>
          <w:rFonts w:cs="Arial"/>
          <w:bCs/>
        </w:rPr>
        <w:t>Carnwath</w:t>
      </w:r>
      <w:proofErr w:type="spellEnd"/>
      <w:r w:rsidR="003879BC">
        <w:rPr>
          <w:rFonts w:cs="Arial"/>
          <w:bCs/>
        </w:rPr>
        <w:t xml:space="preserve"> in </w:t>
      </w:r>
      <w:r w:rsidR="003879BC">
        <w:rPr>
          <w:rFonts w:cs="Arial"/>
          <w:bCs/>
          <w:i/>
        </w:rPr>
        <w:t>Barkas</w:t>
      </w:r>
      <w:r w:rsidR="003879BC">
        <w:rPr>
          <w:rFonts w:cs="Arial"/>
          <w:bCs/>
        </w:rPr>
        <w:t>.</w:t>
      </w:r>
      <w:r w:rsidR="00A508C9">
        <w:rPr>
          <w:rFonts w:cs="Arial"/>
          <w:bCs/>
        </w:rPr>
        <w:t xml:space="preserve"> </w:t>
      </w:r>
      <w:r w:rsidR="009C1FCF">
        <w:rPr>
          <w:rFonts w:cs="Arial"/>
          <w:bCs/>
        </w:rPr>
        <w:t>This is a case where, i</w:t>
      </w:r>
      <w:r w:rsidR="009E7ADD">
        <w:rPr>
          <w:rFonts w:cs="Arial"/>
          <w:bCs/>
        </w:rPr>
        <w:t xml:space="preserve">n my view, there is a relatively full </w:t>
      </w:r>
      <w:r w:rsidR="00E866D6">
        <w:rPr>
          <w:rFonts w:cs="Arial"/>
          <w:bCs/>
        </w:rPr>
        <w:t>evidence trail</w:t>
      </w:r>
      <w:r w:rsidR="009E7ADD">
        <w:rPr>
          <w:rFonts w:cs="Arial"/>
          <w:bCs/>
        </w:rPr>
        <w:t xml:space="preserve"> in terms of the Objector’s treatment of the land</w:t>
      </w:r>
      <w:r w:rsidR="00535974">
        <w:rPr>
          <w:rFonts w:cs="Arial"/>
          <w:bCs/>
        </w:rPr>
        <w:t xml:space="preserve"> over the years</w:t>
      </w:r>
      <w:r w:rsidR="009E7ADD">
        <w:rPr>
          <w:rFonts w:cs="Arial"/>
          <w:bCs/>
        </w:rPr>
        <w:t>.</w:t>
      </w:r>
      <w:r w:rsidR="003879BC">
        <w:rPr>
          <w:rFonts w:cs="Arial"/>
          <w:bCs/>
        </w:rPr>
        <w:t xml:space="preserve"> </w:t>
      </w:r>
      <w:r w:rsidR="004046F6">
        <w:rPr>
          <w:rFonts w:cs="Arial"/>
          <w:bCs/>
        </w:rPr>
        <w:t>Looking at the factual</w:t>
      </w:r>
      <w:r w:rsidR="004046F6">
        <w:rPr>
          <w:rFonts w:cs="Arial"/>
          <w:bCs/>
          <w:i/>
        </w:rPr>
        <w:t xml:space="preserve"> </w:t>
      </w:r>
      <w:r w:rsidR="004046F6">
        <w:rPr>
          <w:rFonts w:cs="Arial"/>
          <w:bCs/>
        </w:rPr>
        <w:t>use of the land will, I think, in this case lead nowhere because some of the land left</w:t>
      </w:r>
      <w:r w:rsidR="002336F3">
        <w:rPr>
          <w:rFonts w:cs="Arial"/>
          <w:bCs/>
        </w:rPr>
        <w:t xml:space="preserve"> un-appropriated in 1973 is now, for example, </w:t>
      </w:r>
      <w:r w:rsidR="004046F6">
        <w:rPr>
          <w:rFonts w:cs="Arial"/>
          <w:bCs/>
        </w:rPr>
        <w:t xml:space="preserve">used for car parking. </w:t>
      </w:r>
      <w:r w:rsidR="004046F6" w:rsidRPr="004046F6">
        <w:rPr>
          <w:rFonts w:cs="Arial"/>
          <w:bCs/>
        </w:rPr>
        <w:t>Mr Alesbury, for example, conceded in oral argument that it is was unsatisfactory “in terms of clarity” that the car parking areas were in place at the time of the byelaws being imposed and that the situ</w:t>
      </w:r>
      <w:r w:rsidR="004046F6">
        <w:rPr>
          <w:rFonts w:cs="Arial"/>
          <w:bCs/>
        </w:rPr>
        <w:t xml:space="preserve">ation, “was less than perfect.” </w:t>
      </w:r>
      <w:r w:rsidR="00CA42D8">
        <w:rPr>
          <w:rFonts w:cs="Arial"/>
          <w:bCs/>
        </w:rPr>
        <w:t xml:space="preserve">I do not derive any assistance therefore </w:t>
      </w:r>
      <w:r w:rsidR="00F82584">
        <w:rPr>
          <w:rFonts w:cs="Arial"/>
          <w:bCs/>
        </w:rPr>
        <w:t>from the factual use of the land</w:t>
      </w:r>
      <w:r w:rsidR="00E754CA">
        <w:rPr>
          <w:rFonts w:cs="Arial"/>
          <w:bCs/>
        </w:rPr>
        <w:t xml:space="preserve">, but I should stress that in my view this is not legally relevant to the question of implied </w:t>
      </w:r>
      <w:r w:rsidR="00F065E7">
        <w:rPr>
          <w:rFonts w:cs="Arial"/>
          <w:bCs/>
        </w:rPr>
        <w:t>appropriation</w:t>
      </w:r>
      <w:r w:rsidR="00E754CA">
        <w:rPr>
          <w:rFonts w:cs="Arial"/>
          <w:bCs/>
        </w:rPr>
        <w:t xml:space="preserve">: </w:t>
      </w:r>
      <w:r w:rsidR="00E754CA">
        <w:rPr>
          <w:rFonts w:cs="Arial"/>
          <w:bCs/>
          <w:i/>
        </w:rPr>
        <w:t>Oxy-Electric</w:t>
      </w:r>
      <w:r w:rsidR="000512A1">
        <w:rPr>
          <w:rFonts w:cs="Arial"/>
          <w:bCs/>
          <w:i/>
        </w:rPr>
        <w:t xml:space="preserve"> </w:t>
      </w:r>
      <w:r w:rsidR="00AF1362">
        <w:rPr>
          <w:rFonts w:cs="Arial"/>
          <w:bCs/>
        </w:rPr>
        <w:t xml:space="preserve">(see </w:t>
      </w:r>
      <w:r w:rsidR="00A46CFE">
        <w:rPr>
          <w:rFonts w:cs="Arial"/>
          <w:bCs/>
        </w:rPr>
        <w:t xml:space="preserve">particularly </w:t>
      </w:r>
      <w:r w:rsidR="00AF1362">
        <w:rPr>
          <w:rFonts w:cs="Arial"/>
          <w:bCs/>
        </w:rPr>
        <w:t xml:space="preserve">the proposition advanced by Robert </w:t>
      </w:r>
      <w:proofErr w:type="spellStart"/>
      <w:r w:rsidR="00AF1362">
        <w:rPr>
          <w:rFonts w:cs="Arial"/>
          <w:bCs/>
        </w:rPr>
        <w:t>Carnwath</w:t>
      </w:r>
      <w:proofErr w:type="spellEnd"/>
      <w:r w:rsidR="00AF1362">
        <w:rPr>
          <w:rFonts w:cs="Arial"/>
          <w:bCs/>
        </w:rPr>
        <w:t xml:space="preserve"> QC (as he then was)</w:t>
      </w:r>
      <w:r w:rsidR="008D215C">
        <w:rPr>
          <w:rFonts w:cs="Arial"/>
          <w:bCs/>
        </w:rPr>
        <w:t xml:space="preserve"> </w:t>
      </w:r>
      <w:r w:rsidR="00E754CA">
        <w:rPr>
          <w:rFonts w:cs="Arial"/>
          <w:bCs/>
        </w:rPr>
        <w:t xml:space="preserve">and </w:t>
      </w:r>
      <w:r w:rsidR="005625C7" w:rsidRPr="003E7095">
        <w:rPr>
          <w:rFonts w:cs="Arial"/>
          <w:bCs/>
          <w:i/>
        </w:rPr>
        <w:t xml:space="preserve">Third </w:t>
      </w:r>
      <w:proofErr w:type="spellStart"/>
      <w:r w:rsidR="005625C7" w:rsidRPr="003E7095">
        <w:rPr>
          <w:rFonts w:cs="Arial"/>
          <w:bCs/>
          <w:i/>
        </w:rPr>
        <w:t>Greytown</w:t>
      </w:r>
      <w:proofErr w:type="spellEnd"/>
      <w:r w:rsidR="005625C7">
        <w:rPr>
          <w:rFonts w:cs="Arial"/>
          <w:bCs/>
        </w:rPr>
        <w:t xml:space="preserve"> </w:t>
      </w:r>
      <w:r w:rsidR="005625C7" w:rsidRPr="0044712C">
        <w:rPr>
          <w:bCs/>
          <w:i/>
          <w:lang w:val="en-US"/>
        </w:rPr>
        <w:t>Properties Ltd</w:t>
      </w:r>
      <w:r w:rsidR="001A0008">
        <w:rPr>
          <w:bCs/>
          <w:i/>
          <w:lang w:val="en-US"/>
        </w:rPr>
        <w:t xml:space="preserve"> </w:t>
      </w:r>
      <w:r w:rsidR="00321FCE">
        <w:rPr>
          <w:bCs/>
          <w:lang w:val="en-US"/>
        </w:rPr>
        <w:t xml:space="preserve">apply. </w:t>
      </w:r>
    </w:p>
    <w:p w14:paraId="0A0BD105" w14:textId="5BDFDBB3" w:rsidR="002565F8" w:rsidRPr="00E113A1" w:rsidRDefault="007A721E" w:rsidP="00B11187">
      <w:pPr>
        <w:pStyle w:val="BodyText"/>
        <w:numPr>
          <w:ilvl w:val="0"/>
          <w:numId w:val="1"/>
        </w:numPr>
        <w:spacing w:line="360" w:lineRule="auto"/>
        <w:jc w:val="both"/>
        <w:rPr>
          <w:rFonts w:cs="Arial"/>
          <w:bCs/>
        </w:rPr>
      </w:pPr>
      <w:r>
        <w:rPr>
          <w:rFonts w:cs="Arial"/>
          <w:bCs/>
        </w:rPr>
        <w:t xml:space="preserve">Neither, I should say, does a </w:t>
      </w:r>
      <w:r>
        <w:rPr>
          <w:rFonts w:cs="Arial"/>
          <w:bCs/>
          <w:i/>
        </w:rPr>
        <w:t xml:space="preserve">Barkas </w:t>
      </w:r>
      <w:r>
        <w:rPr>
          <w:rFonts w:cs="Arial"/>
          <w:bCs/>
        </w:rPr>
        <w:t xml:space="preserve">style </w:t>
      </w:r>
      <w:r w:rsidR="001819A9">
        <w:rPr>
          <w:rFonts w:cs="Arial"/>
          <w:bCs/>
        </w:rPr>
        <w:t>appropriation</w:t>
      </w:r>
      <w:r>
        <w:rPr>
          <w:rFonts w:cs="Arial"/>
          <w:bCs/>
        </w:rPr>
        <w:t xml:space="preserve"> apply – the un</w:t>
      </w:r>
      <w:r w:rsidR="00515F9B">
        <w:rPr>
          <w:rFonts w:cs="Arial"/>
          <w:bCs/>
        </w:rPr>
        <w:t>-</w:t>
      </w:r>
      <w:r>
        <w:rPr>
          <w:rFonts w:cs="Arial"/>
          <w:bCs/>
        </w:rPr>
        <w:t>appropriated land in 1973 was</w:t>
      </w:r>
      <w:r w:rsidR="005E7C1C">
        <w:rPr>
          <w:rFonts w:cs="Arial"/>
          <w:bCs/>
        </w:rPr>
        <w:t>, I find, not</w:t>
      </w:r>
      <w:r>
        <w:rPr>
          <w:rFonts w:cs="Arial"/>
          <w:bCs/>
        </w:rPr>
        <w:t xml:space="preserve"> held for a purpose broad enough to encompass recreation. </w:t>
      </w:r>
      <w:r w:rsidR="003879BC">
        <w:rPr>
          <w:rFonts w:cs="Arial"/>
          <w:bCs/>
        </w:rPr>
        <w:t xml:space="preserve">In my view, the only </w:t>
      </w:r>
      <w:r w:rsidR="00712F62">
        <w:rPr>
          <w:rFonts w:cs="Arial"/>
          <w:bCs/>
        </w:rPr>
        <w:t xml:space="preserve">possible way in which it can be said that use of the land not appropriated in 1973 has been </w:t>
      </w:r>
      <w:r w:rsidR="00712F62">
        <w:rPr>
          <w:rFonts w:cs="Arial"/>
          <w:bCs/>
          <w:i/>
        </w:rPr>
        <w:t>by right</w:t>
      </w:r>
      <w:r w:rsidR="00123786">
        <w:rPr>
          <w:rFonts w:cs="Arial"/>
          <w:bCs/>
        </w:rPr>
        <w:t xml:space="preserve"> can be if the Objector </w:t>
      </w:r>
      <w:r w:rsidR="000A6C7C">
        <w:rPr>
          <w:rFonts w:cs="Arial"/>
          <w:bCs/>
        </w:rPr>
        <w:t>took a decision to appropriate</w:t>
      </w:r>
      <w:r w:rsidR="008E3039">
        <w:rPr>
          <w:rFonts w:cs="Arial"/>
          <w:bCs/>
        </w:rPr>
        <w:t xml:space="preserve"> the land that carried with it an implicit appropriation to the purposes</w:t>
      </w:r>
      <w:r w:rsidR="00CD7F2A">
        <w:rPr>
          <w:rFonts w:cs="Arial"/>
          <w:bCs/>
        </w:rPr>
        <w:t xml:space="preserve"> of the Public Health Act 1875 in the </w:t>
      </w:r>
      <w:r w:rsidR="00CD7F2A">
        <w:rPr>
          <w:rFonts w:cs="Arial"/>
          <w:bCs/>
          <w:i/>
        </w:rPr>
        <w:t xml:space="preserve">Oxy-Electric </w:t>
      </w:r>
      <w:r w:rsidR="00CD7F2A">
        <w:rPr>
          <w:rFonts w:cs="Arial"/>
          <w:bCs/>
        </w:rPr>
        <w:t xml:space="preserve">sense. </w:t>
      </w:r>
      <w:r w:rsidR="00123786">
        <w:rPr>
          <w:rFonts w:cs="Arial"/>
          <w:bCs/>
        </w:rPr>
        <w:t xml:space="preserve"> </w:t>
      </w:r>
      <w:r w:rsidR="00854C72">
        <w:rPr>
          <w:rFonts w:cs="Arial"/>
          <w:bCs/>
        </w:rPr>
        <w:t xml:space="preserve"> </w:t>
      </w:r>
    </w:p>
    <w:p w14:paraId="6D6953B4" w14:textId="15086053" w:rsidR="001C485B" w:rsidRPr="001A56AC" w:rsidRDefault="005A4736" w:rsidP="008A695B">
      <w:pPr>
        <w:pStyle w:val="BodyText"/>
        <w:numPr>
          <w:ilvl w:val="0"/>
          <w:numId w:val="1"/>
        </w:numPr>
        <w:spacing w:line="360" w:lineRule="auto"/>
        <w:jc w:val="both"/>
        <w:rPr>
          <w:rFonts w:cs="Arial"/>
          <w:bCs/>
        </w:rPr>
      </w:pPr>
      <w:r>
        <w:rPr>
          <w:rFonts w:cs="Arial"/>
          <w:bCs/>
        </w:rPr>
        <w:t>Mr Alesbury</w:t>
      </w:r>
      <w:r w:rsidR="00C104F1">
        <w:rPr>
          <w:rFonts w:cs="Arial"/>
          <w:bCs/>
        </w:rPr>
        <w:t xml:space="preserve"> submitted that the imposition of the byelaws must be seen as a “fresh decision” as this was the first set of byelaws imposed. Further, that everyone in the local area would know what “the Knowle” meant and that, as a matter of fact, the byelaws were certain and the relevant land could be identified. This it was said was sufficient to make </w:t>
      </w:r>
      <w:r w:rsidR="00392EB8">
        <w:rPr>
          <w:rFonts w:cs="Arial"/>
          <w:bCs/>
        </w:rPr>
        <w:t xml:space="preserve">the </w:t>
      </w:r>
      <w:r w:rsidR="00C104F1">
        <w:rPr>
          <w:rFonts w:cs="Arial"/>
          <w:bCs/>
        </w:rPr>
        <w:t>“pill</w:t>
      </w:r>
      <w:r w:rsidR="001A02AC">
        <w:rPr>
          <w:rFonts w:cs="Arial"/>
          <w:bCs/>
        </w:rPr>
        <w:t xml:space="preserve"> easier to swallow” despite the “quirky” factual situation. </w:t>
      </w:r>
    </w:p>
    <w:p w14:paraId="3FABB3B1" w14:textId="3D28D116" w:rsidR="004602CC" w:rsidRDefault="004602CC" w:rsidP="008A695B">
      <w:pPr>
        <w:pStyle w:val="BodyText"/>
        <w:numPr>
          <w:ilvl w:val="0"/>
          <w:numId w:val="1"/>
        </w:numPr>
        <w:spacing w:line="360" w:lineRule="auto"/>
        <w:jc w:val="both"/>
      </w:pPr>
      <w:r>
        <w:t>There are a number of counter arguments</w:t>
      </w:r>
      <w:r w:rsidR="00E113A1">
        <w:t xml:space="preserve"> that were </w:t>
      </w:r>
      <w:r w:rsidR="002B0023">
        <w:t xml:space="preserve">discussed during </w:t>
      </w:r>
      <w:r w:rsidR="00F86436">
        <w:t xml:space="preserve">oral submissions: </w:t>
      </w:r>
    </w:p>
    <w:p w14:paraId="155CCFC5" w14:textId="218D95AB" w:rsidR="004602CC" w:rsidRDefault="004602CC" w:rsidP="004602CC">
      <w:pPr>
        <w:pStyle w:val="BodyText"/>
        <w:numPr>
          <w:ilvl w:val="0"/>
          <w:numId w:val="25"/>
        </w:numPr>
        <w:spacing w:line="360" w:lineRule="auto"/>
        <w:jc w:val="both"/>
      </w:pPr>
      <w:r>
        <w:t xml:space="preserve">The byelaws made under the </w:t>
      </w:r>
      <w:r w:rsidR="00345981">
        <w:t>Public Health Act</w:t>
      </w:r>
      <w:r>
        <w:t xml:space="preserve"> 1875 should be taken as referring to that land already appropriated to that statutory purpose</w:t>
      </w:r>
      <w:r w:rsidR="00077B1E">
        <w:t xml:space="preserve"> and not as an implicit decision to appropriate the remainder of the Knowle to that purpose. </w:t>
      </w:r>
    </w:p>
    <w:p w14:paraId="4B5B7460" w14:textId="637F50C9" w:rsidR="00813A5D" w:rsidRDefault="00813A5D" w:rsidP="004602CC">
      <w:pPr>
        <w:pStyle w:val="BodyText"/>
        <w:numPr>
          <w:ilvl w:val="0"/>
          <w:numId w:val="25"/>
        </w:numPr>
        <w:spacing w:line="360" w:lineRule="auto"/>
        <w:jc w:val="both"/>
      </w:pPr>
      <w:r>
        <w:lastRenderedPageBreak/>
        <w:t xml:space="preserve">If “the Knowle” is the common name for the offices as well as the land then no sensible distinction can be made between </w:t>
      </w:r>
      <w:r w:rsidR="00351348">
        <w:t xml:space="preserve">the offices, the car parks and the green space. </w:t>
      </w:r>
      <w:r w:rsidR="001659DF">
        <w:t xml:space="preserve">Are the byelaws said to apply to all of these areas? </w:t>
      </w:r>
    </w:p>
    <w:p w14:paraId="0D756102" w14:textId="490FDE4F" w:rsidR="001659DF" w:rsidRDefault="004377B2" w:rsidP="004602CC">
      <w:pPr>
        <w:pStyle w:val="BodyText"/>
        <w:numPr>
          <w:ilvl w:val="0"/>
          <w:numId w:val="25"/>
        </w:numPr>
        <w:spacing w:line="360" w:lineRule="auto"/>
        <w:jc w:val="both"/>
      </w:pPr>
      <w:r>
        <w:t>Some of the land</w:t>
      </w:r>
      <w:r w:rsidR="001166C9">
        <w:t>, for example</w:t>
      </w:r>
      <w:r>
        <w:t xml:space="preserve"> </w:t>
      </w:r>
      <w:r w:rsidR="00871455">
        <w:t>around the office buildings</w:t>
      </w:r>
      <w:r w:rsidR="00934C2A">
        <w:t>,</w:t>
      </w:r>
      <w:r w:rsidR="00871455">
        <w:t xml:space="preserve"> </w:t>
      </w:r>
      <w:r w:rsidR="00C34792">
        <w:t>has been used for</w:t>
      </w:r>
      <w:r w:rsidR="00862000">
        <w:t xml:space="preserve"> car park</w:t>
      </w:r>
      <w:r w:rsidR="006871A9">
        <w:t>ing</w:t>
      </w:r>
      <w:r w:rsidR="00862000">
        <w:t xml:space="preserve"> and this would </w:t>
      </w:r>
      <w:r w:rsidR="00AB1C13">
        <w:t xml:space="preserve">not </w:t>
      </w:r>
      <w:r w:rsidR="00105512">
        <w:t xml:space="preserve">have </w:t>
      </w:r>
      <w:r w:rsidR="00AB1C13">
        <w:t>be</w:t>
      </w:r>
      <w:r w:rsidR="00105512">
        <w:t>en</w:t>
      </w:r>
      <w:r w:rsidR="00AB1C13">
        <w:t xml:space="preserve"> </w:t>
      </w:r>
      <w:r w:rsidR="002E7936">
        <w:t>lawful</w:t>
      </w:r>
      <w:r w:rsidR="00AB1C13">
        <w:t xml:space="preserve"> if such land is held under </w:t>
      </w:r>
      <w:r w:rsidR="002F63FB">
        <w:t xml:space="preserve">the </w:t>
      </w:r>
      <w:r w:rsidR="00731956">
        <w:t>Pub</w:t>
      </w:r>
      <w:r w:rsidR="006D468B">
        <w:t>l</w:t>
      </w:r>
      <w:r w:rsidR="00731956">
        <w:t xml:space="preserve">ic Health Act </w:t>
      </w:r>
      <w:r w:rsidR="008B06A3">
        <w:t xml:space="preserve">1875. </w:t>
      </w:r>
    </w:p>
    <w:p w14:paraId="5F321AF3" w14:textId="7C13D199" w:rsidR="003A4F52" w:rsidRDefault="008A79CA" w:rsidP="003A4F52">
      <w:pPr>
        <w:pStyle w:val="BodyText"/>
        <w:numPr>
          <w:ilvl w:val="0"/>
          <w:numId w:val="1"/>
        </w:numPr>
        <w:spacing w:line="360" w:lineRule="auto"/>
        <w:jc w:val="both"/>
        <w:rPr>
          <w:rFonts w:cs="Arial"/>
          <w:bCs/>
        </w:rPr>
      </w:pPr>
      <w:r>
        <w:rPr>
          <w:rFonts w:cs="Arial"/>
          <w:bCs/>
        </w:rPr>
        <w:t xml:space="preserve">In my view, </w:t>
      </w:r>
      <w:r w:rsidR="002A4888">
        <w:rPr>
          <w:rFonts w:cs="Arial"/>
          <w:bCs/>
        </w:rPr>
        <w:t xml:space="preserve">it is </w:t>
      </w:r>
      <w:r w:rsidR="00366E3A">
        <w:rPr>
          <w:rFonts w:cs="Arial"/>
          <w:bCs/>
        </w:rPr>
        <w:t>crucial</w:t>
      </w:r>
      <w:r w:rsidR="002A4888">
        <w:rPr>
          <w:rFonts w:cs="Arial"/>
          <w:bCs/>
        </w:rPr>
        <w:t xml:space="preserve"> that </w:t>
      </w:r>
      <w:r w:rsidR="00555E4A">
        <w:rPr>
          <w:rFonts w:cs="Arial"/>
          <w:bCs/>
        </w:rPr>
        <w:t xml:space="preserve">the decision taken to </w:t>
      </w:r>
      <w:r w:rsidR="00366E3A">
        <w:rPr>
          <w:rFonts w:cs="Arial"/>
          <w:bCs/>
        </w:rPr>
        <w:t>expressly appropriate the majority of the land in 1973</w:t>
      </w:r>
      <w:r w:rsidR="00F84D32">
        <w:rPr>
          <w:rFonts w:cs="Arial"/>
          <w:bCs/>
        </w:rPr>
        <w:t xml:space="preserve"> </w:t>
      </w:r>
      <w:r w:rsidR="00AF5A0A">
        <w:rPr>
          <w:rFonts w:cs="Arial"/>
          <w:bCs/>
        </w:rPr>
        <w:t xml:space="preserve">did not </w:t>
      </w:r>
      <w:r w:rsidR="00151075">
        <w:rPr>
          <w:rFonts w:cs="Arial"/>
          <w:bCs/>
        </w:rPr>
        <w:t xml:space="preserve">redefine or define what the “the Knowle” was or is. That place-name, as I have found as a matter of fact, </w:t>
      </w:r>
      <w:r w:rsidR="00922F18">
        <w:rPr>
          <w:rFonts w:cs="Arial"/>
          <w:bCs/>
        </w:rPr>
        <w:t xml:space="preserve">refers to the entire site, including all of the buildings. </w:t>
      </w:r>
      <w:r w:rsidR="00A53F27">
        <w:rPr>
          <w:rFonts w:cs="Arial"/>
          <w:bCs/>
        </w:rPr>
        <w:t>I would therefore hold that</w:t>
      </w:r>
      <w:r w:rsidR="002D4139">
        <w:rPr>
          <w:rFonts w:cs="Arial"/>
          <w:bCs/>
        </w:rPr>
        <w:t xml:space="preserve"> it would be </w:t>
      </w:r>
      <w:r w:rsidR="00DA5CC6">
        <w:rPr>
          <w:rFonts w:cs="Arial"/>
          <w:bCs/>
        </w:rPr>
        <w:t>erroneous</w:t>
      </w:r>
      <w:r w:rsidR="002D4139">
        <w:rPr>
          <w:rFonts w:cs="Arial"/>
          <w:bCs/>
        </w:rPr>
        <w:t xml:space="preserve"> to refer back to the 1973 decision as in some way defining the ter</w:t>
      </w:r>
      <w:r w:rsidR="00C7759B">
        <w:rPr>
          <w:rFonts w:cs="Arial"/>
          <w:bCs/>
        </w:rPr>
        <w:t>m</w:t>
      </w:r>
      <w:r w:rsidR="00B7501E">
        <w:rPr>
          <w:rFonts w:cs="Arial"/>
          <w:bCs/>
        </w:rPr>
        <w:t>s</w:t>
      </w:r>
      <w:r w:rsidR="00C7759B">
        <w:rPr>
          <w:rFonts w:cs="Arial"/>
          <w:bCs/>
        </w:rPr>
        <w:t xml:space="preserve"> used</w:t>
      </w:r>
      <w:r w:rsidR="00A730BC">
        <w:rPr>
          <w:rFonts w:cs="Arial"/>
          <w:bCs/>
        </w:rPr>
        <w:t xml:space="preserve"> within the byelaws: I agree that it was a “fresh decision.”</w:t>
      </w:r>
      <w:r w:rsidR="00DA5CC6">
        <w:rPr>
          <w:rFonts w:cs="Arial"/>
          <w:bCs/>
        </w:rPr>
        <w:t xml:space="preserve"> </w:t>
      </w:r>
      <w:r w:rsidR="00B446E6">
        <w:rPr>
          <w:rFonts w:cs="Arial"/>
          <w:bCs/>
        </w:rPr>
        <w:t>It is my conclusion that the entirety of</w:t>
      </w:r>
      <w:r w:rsidR="00E13EBD">
        <w:rPr>
          <w:rFonts w:cs="Arial"/>
          <w:bCs/>
        </w:rPr>
        <w:t xml:space="preserve"> the land described “Knowle, Sid</w:t>
      </w:r>
      <w:r w:rsidR="00B446E6">
        <w:rPr>
          <w:rFonts w:cs="Arial"/>
          <w:bCs/>
        </w:rPr>
        <w:t xml:space="preserve">mouth” in the 1984 byelaws was appropriated to the purposes of the Public Health Act 1875 when those byelaws came into force. Although, there is no reference to the express reference to the Knowle byelaws being pursuant to the 1875 Act in the 1996 byelaws, the land was already appropriated to that provision and so, I </w:t>
      </w:r>
      <w:r w:rsidR="00800E88">
        <w:rPr>
          <w:rFonts w:cs="Arial"/>
          <w:bCs/>
        </w:rPr>
        <w:t xml:space="preserve">think this to be of no importance. </w:t>
      </w:r>
      <w:r w:rsidR="00B446E6">
        <w:rPr>
          <w:rFonts w:cs="Arial"/>
          <w:bCs/>
        </w:rPr>
        <w:t xml:space="preserve"> </w:t>
      </w:r>
    </w:p>
    <w:p w14:paraId="51F60395" w14:textId="32B7B7C6" w:rsidR="00E81907" w:rsidRPr="00ED0AF7" w:rsidRDefault="001E205D" w:rsidP="00212755">
      <w:pPr>
        <w:pStyle w:val="BodyText"/>
        <w:numPr>
          <w:ilvl w:val="0"/>
          <w:numId w:val="1"/>
        </w:numPr>
        <w:spacing w:line="360" w:lineRule="auto"/>
        <w:jc w:val="both"/>
        <w:rPr>
          <w:rFonts w:cs="Arial"/>
          <w:bCs/>
        </w:rPr>
      </w:pPr>
      <w:r>
        <w:rPr>
          <w:rFonts w:cs="Arial"/>
          <w:bCs/>
        </w:rPr>
        <w:t>It is true to say that, by taking the definition of “the Knowle”</w:t>
      </w:r>
      <w:r w:rsidR="00E26241">
        <w:rPr>
          <w:rFonts w:cs="Arial"/>
          <w:bCs/>
        </w:rPr>
        <w:t xml:space="preserve"> (as I have)</w:t>
      </w:r>
      <w:r>
        <w:rPr>
          <w:rFonts w:cs="Arial"/>
          <w:bCs/>
        </w:rPr>
        <w:t xml:space="preserve"> as including </w:t>
      </w:r>
      <w:r w:rsidR="00AE18C1">
        <w:rPr>
          <w:rFonts w:cs="Arial"/>
          <w:bCs/>
        </w:rPr>
        <w:t>all the</w:t>
      </w:r>
      <w:r w:rsidR="00C66177">
        <w:rPr>
          <w:rFonts w:cs="Arial"/>
          <w:bCs/>
        </w:rPr>
        <w:t xml:space="preserve"> land (in</w:t>
      </w:r>
      <w:r w:rsidR="00E80659">
        <w:rPr>
          <w:rFonts w:cs="Arial"/>
          <w:bCs/>
        </w:rPr>
        <w:t xml:space="preserve">cluding the office buildings) </w:t>
      </w:r>
      <w:r w:rsidR="00DD32D0">
        <w:rPr>
          <w:rFonts w:cs="Arial"/>
          <w:bCs/>
        </w:rPr>
        <w:t xml:space="preserve">this has certain consequences. </w:t>
      </w:r>
      <w:r w:rsidR="006E13C8">
        <w:rPr>
          <w:rFonts w:cs="Arial"/>
          <w:bCs/>
        </w:rPr>
        <w:t>It means</w:t>
      </w:r>
      <w:r w:rsidR="00212755">
        <w:rPr>
          <w:rFonts w:cs="Arial"/>
          <w:bCs/>
        </w:rPr>
        <w:t xml:space="preserve"> that the Objector’s use of </w:t>
      </w:r>
      <w:r w:rsidR="00577D9A">
        <w:rPr>
          <w:rFonts w:cs="Arial"/>
          <w:bCs/>
        </w:rPr>
        <w:t xml:space="preserve">parts of </w:t>
      </w:r>
      <w:r w:rsidR="00212755">
        <w:rPr>
          <w:rFonts w:cs="Arial"/>
          <w:bCs/>
        </w:rPr>
        <w:t>“the Knowle”</w:t>
      </w:r>
      <w:r w:rsidR="00577D9A">
        <w:rPr>
          <w:rFonts w:cs="Arial"/>
          <w:bCs/>
        </w:rPr>
        <w:t xml:space="preserve"> for car parking purposes or even as offices </w:t>
      </w:r>
      <w:r w:rsidR="000C58C1">
        <w:rPr>
          <w:rFonts w:cs="Arial"/>
          <w:bCs/>
        </w:rPr>
        <w:t>may well have</w:t>
      </w:r>
      <w:r w:rsidR="00577D9A">
        <w:rPr>
          <w:rFonts w:cs="Arial"/>
          <w:bCs/>
        </w:rPr>
        <w:t xml:space="preserve"> </w:t>
      </w:r>
      <w:r w:rsidR="00F8543F">
        <w:rPr>
          <w:rFonts w:cs="Arial"/>
          <w:bCs/>
        </w:rPr>
        <w:t xml:space="preserve">been </w:t>
      </w:r>
      <w:r w:rsidR="00577D9A">
        <w:rPr>
          <w:rFonts w:cs="Arial"/>
          <w:bCs/>
        </w:rPr>
        <w:t xml:space="preserve">strictly </w:t>
      </w:r>
      <w:r w:rsidR="00741C52">
        <w:rPr>
          <w:rFonts w:cs="Arial"/>
          <w:bCs/>
        </w:rPr>
        <w:t>unlawful</w:t>
      </w:r>
      <w:r w:rsidR="00577D9A">
        <w:rPr>
          <w:rFonts w:cs="Arial"/>
          <w:bCs/>
        </w:rPr>
        <w:t xml:space="preserve">. </w:t>
      </w:r>
      <w:r w:rsidR="00543227">
        <w:rPr>
          <w:rFonts w:cs="Arial"/>
          <w:bCs/>
        </w:rPr>
        <w:t>In my view, I should not allow this conseque</w:t>
      </w:r>
      <w:r w:rsidR="006B0F65">
        <w:rPr>
          <w:rFonts w:cs="Arial"/>
          <w:bCs/>
        </w:rPr>
        <w:t xml:space="preserve">nce to become a starting point, as I consider that the </w:t>
      </w:r>
      <w:r w:rsidR="001E3C02">
        <w:rPr>
          <w:rFonts w:cs="Arial"/>
          <w:bCs/>
        </w:rPr>
        <w:t>central</w:t>
      </w:r>
      <w:r w:rsidR="006B0F65">
        <w:rPr>
          <w:rFonts w:cs="Arial"/>
          <w:bCs/>
        </w:rPr>
        <w:t xml:space="preserve"> principle here is to simply identify what land is covered </w:t>
      </w:r>
      <w:r w:rsidR="00C14DFB">
        <w:rPr>
          <w:rFonts w:cs="Arial"/>
          <w:bCs/>
        </w:rPr>
        <w:t xml:space="preserve">by the 1984 / 1996 byelaws and this </w:t>
      </w:r>
      <w:r w:rsidR="00114B7E">
        <w:rPr>
          <w:rFonts w:cs="Arial"/>
          <w:bCs/>
        </w:rPr>
        <w:t>is a strictly factual exercise.</w:t>
      </w:r>
      <w:r w:rsidR="00286935">
        <w:rPr>
          <w:rFonts w:cs="Arial"/>
          <w:bCs/>
        </w:rPr>
        <w:t xml:space="preserve"> Further, there is a very good chronology of the relevant facts and no need, in my view, to infer anything.</w:t>
      </w:r>
      <w:r w:rsidR="00114B7E">
        <w:rPr>
          <w:rFonts w:cs="Arial"/>
          <w:bCs/>
        </w:rPr>
        <w:t xml:space="preserve"> </w:t>
      </w:r>
      <w:r w:rsidR="00E81907" w:rsidRPr="00ED0AF7">
        <w:rPr>
          <w:rFonts w:cs="Arial"/>
          <w:bCs/>
        </w:rPr>
        <w:t>To illustrate with an example, if an offence contrary to the byelaws had taken place on the raised lawn area or even one of the car parks, I consider that the Magistrates</w:t>
      </w:r>
      <w:r w:rsidR="00223D35">
        <w:rPr>
          <w:rFonts w:cs="Arial"/>
          <w:bCs/>
        </w:rPr>
        <w:t xml:space="preserve"> </w:t>
      </w:r>
      <w:r w:rsidR="00E81907" w:rsidRPr="00ED0AF7">
        <w:rPr>
          <w:rFonts w:cs="Arial"/>
          <w:bCs/>
        </w:rPr>
        <w:t>hearing the case, with their local knowledge, would have convicted the defendant and that a defence that he was not on “the Knowle” would have</w:t>
      </w:r>
      <w:r w:rsidR="00FF3A5E">
        <w:rPr>
          <w:rFonts w:cs="Arial"/>
          <w:bCs/>
        </w:rPr>
        <w:t xml:space="preserve"> been very unlikely to succeed (and, I think, very unlikely to be advanced in the first place). </w:t>
      </w:r>
    </w:p>
    <w:p w14:paraId="3CFB2728" w14:textId="65AAA2A7" w:rsidR="00AB298A" w:rsidRDefault="00A80099" w:rsidP="00212755">
      <w:pPr>
        <w:pStyle w:val="BodyText"/>
        <w:numPr>
          <w:ilvl w:val="0"/>
          <w:numId w:val="1"/>
        </w:numPr>
        <w:spacing w:line="360" w:lineRule="auto"/>
        <w:jc w:val="both"/>
        <w:rPr>
          <w:rFonts w:cs="Arial"/>
          <w:bCs/>
        </w:rPr>
      </w:pPr>
      <w:r>
        <w:rPr>
          <w:rFonts w:cs="Arial"/>
          <w:bCs/>
        </w:rPr>
        <w:t xml:space="preserve">I have not thought it necessary to go behind the byelaws to </w:t>
      </w:r>
      <w:r w:rsidR="00544808">
        <w:rPr>
          <w:rFonts w:cs="Arial"/>
          <w:bCs/>
        </w:rPr>
        <w:t>try and ascertain</w:t>
      </w:r>
      <w:r>
        <w:rPr>
          <w:rFonts w:cs="Arial"/>
          <w:bCs/>
        </w:rPr>
        <w:t xml:space="preserve"> what was </w:t>
      </w:r>
      <w:r w:rsidR="00F17D22">
        <w:rPr>
          <w:rFonts w:cs="Arial"/>
          <w:bCs/>
        </w:rPr>
        <w:t>intended</w:t>
      </w:r>
      <w:r>
        <w:rPr>
          <w:rFonts w:cs="Arial"/>
          <w:bCs/>
        </w:rPr>
        <w:t xml:space="preserve"> by the Objector as, I have found the byelaws to be intelligible </w:t>
      </w:r>
      <w:r w:rsidR="0073054C">
        <w:rPr>
          <w:rFonts w:cs="Arial"/>
          <w:bCs/>
        </w:rPr>
        <w:t>on their face</w:t>
      </w:r>
      <w:r>
        <w:rPr>
          <w:rFonts w:cs="Arial"/>
          <w:bCs/>
        </w:rPr>
        <w:t xml:space="preserve">. </w:t>
      </w:r>
      <w:r w:rsidR="00C06141">
        <w:rPr>
          <w:rFonts w:cs="Arial"/>
          <w:bCs/>
        </w:rPr>
        <w:lastRenderedPageBreak/>
        <w:t xml:space="preserve">Of course, it might be that there would be some kind of “blue pencil” applied to the byelaws in so far as they would </w:t>
      </w:r>
      <w:r w:rsidR="00181EB0">
        <w:rPr>
          <w:rFonts w:cs="Arial"/>
          <w:bCs/>
        </w:rPr>
        <w:t xml:space="preserve">otherwise </w:t>
      </w:r>
      <w:r w:rsidR="00C06141">
        <w:rPr>
          <w:rFonts w:cs="Arial"/>
          <w:bCs/>
        </w:rPr>
        <w:t xml:space="preserve">apply to the office buildings. This is not a concern for me in this Report. </w:t>
      </w:r>
      <w:r w:rsidR="00D1169F">
        <w:rPr>
          <w:rFonts w:cs="Arial"/>
          <w:bCs/>
        </w:rPr>
        <w:t>To summarise, I am in agreement with the Objector that the imposition of the byelaws ought to be seen as a fresh decision and that the definition of</w:t>
      </w:r>
      <w:r w:rsidR="00AD7283">
        <w:rPr>
          <w:rFonts w:cs="Arial"/>
          <w:bCs/>
        </w:rPr>
        <w:t xml:space="preserve"> what counts</w:t>
      </w:r>
      <w:r w:rsidR="00C37A9E">
        <w:rPr>
          <w:rFonts w:cs="Arial"/>
          <w:bCs/>
        </w:rPr>
        <w:t xml:space="preserve"> as</w:t>
      </w:r>
      <w:r w:rsidR="00D1169F">
        <w:rPr>
          <w:rFonts w:cs="Arial"/>
          <w:bCs/>
        </w:rPr>
        <w:t xml:space="preserve"> t</w:t>
      </w:r>
      <w:r w:rsidR="000A5F25">
        <w:rPr>
          <w:rFonts w:cs="Arial"/>
          <w:bCs/>
        </w:rPr>
        <w:t>he Knowle, is a matter of fact</w:t>
      </w:r>
      <w:r w:rsidR="00C7638C">
        <w:rPr>
          <w:rFonts w:cs="Arial"/>
          <w:bCs/>
        </w:rPr>
        <w:t xml:space="preserve"> to be determined</w:t>
      </w:r>
      <w:r w:rsidR="000A5F25">
        <w:rPr>
          <w:rFonts w:cs="Arial"/>
          <w:bCs/>
        </w:rPr>
        <w:t xml:space="preserve">. </w:t>
      </w:r>
      <w:r w:rsidR="00F96B46">
        <w:rPr>
          <w:rFonts w:cs="Arial"/>
          <w:bCs/>
        </w:rPr>
        <w:t>I have made the necessary findings of fact</w:t>
      </w:r>
      <w:r w:rsidR="00316BFF">
        <w:rPr>
          <w:rFonts w:cs="Arial"/>
          <w:bCs/>
        </w:rPr>
        <w:t xml:space="preserve"> (with very little difficulty having heard from the witnesses)</w:t>
      </w:r>
      <w:r w:rsidR="00F96B46">
        <w:rPr>
          <w:rFonts w:cs="Arial"/>
          <w:bCs/>
        </w:rPr>
        <w:t xml:space="preserve"> and this leads me to the conclu</w:t>
      </w:r>
      <w:r w:rsidR="002159E4">
        <w:rPr>
          <w:rFonts w:cs="Arial"/>
          <w:bCs/>
        </w:rPr>
        <w:t xml:space="preserve">sion that the byelaws do apply and amounted to an implicit appropriation </w:t>
      </w:r>
      <w:r w:rsidR="000C2393">
        <w:rPr>
          <w:rFonts w:cs="Arial"/>
          <w:bCs/>
        </w:rPr>
        <w:t xml:space="preserve">to </w:t>
      </w:r>
      <w:r w:rsidR="0016161B">
        <w:rPr>
          <w:rFonts w:cs="Arial"/>
          <w:bCs/>
        </w:rPr>
        <w:t xml:space="preserve">the purposes of </w:t>
      </w:r>
      <w:r w:rsidR="000C2393">
        <w:rPr>
          <w:rFonts w:cs="Arial"/>
          <w:bCs/>
        </w:rPr>
        <w:t xml:space="preserve">s.164 of the Public Health Act 1875 </w:t>
      </w:r>
      <w:r w:rsidR="002159E4">
        <w:rPr>
          <w:rFonts w:cs="Arial"/>
          <w:bCs/>
        </w:rPr>
        <w:t xml:space="preserve">in the </w:t>
      </w:r>
      <w:r w:rsidR="002159E4">
        <w:rPr>
          <w:rFonts w:cs="Arial"/>
          <w:bCs/>
          <w:i/>
        </w:rPr>
        <w:t xml:space="preserve">Oxy-Electric </w:t>
      </w:r>
      <w:r w:rsidR="002159E4">
        <w:rPr>
          <w:rFonts w:cs="Arial"/>
          <w:bCs/>
        </w:rPr>
        <w:t xml:space="preserve">sense. </w:t>
      </w:r>
    </w:p>
    <w:p w14:paraId="3AC154B6" w14:textId="3430D5AB" w:rsidR="00AB298A" w:rsidRPr="00AB298A" w:rsidRDefault="00AB298A" w:rsidP="00212755">
      <w:pPr>
        <w:pStyle w:val="BodyText"/>
        <w:numPr>
          <w:ilvl w:val="0"/>
          <w:numId w:val="1"/>
        </w:numPr>
        <w:spacing w:line="360" w:lineRule="auto"/>
        <w:jc w:val="both"/>
        <w:rPr>
          <w:rFonts w:cs="Arial"/>
          <w:bCs/>
        </w:rPr>
      </w:pPr>
      <w:r>
        <w:rPr>
          <w:rFonts w:cs="Arial"/>
          <w:bCs/>
        </w:rPr>
        <w:t xml:space="preserve">As such I find that any recreational use of parts of the Knowle not appropriated in 1973 was </w:t>
      </w:r>
      <w:r>
        <w:rPr>
          <w:rFonts w:cs="Arial"/>
          <w:bCs/>
          <w:i/>
        </w:rPr>
        <w:t xml:space="preserve">by right </w:t>
      </w:r>
      <w:r>
        <w:rPr>
          <w:rFonts w:cs="Arial"/>
          <w:bCs/>
        </w:rPr>
        <w:t xml:space="preserve">or </w:t>
      </w:r>
      <w:r>
        <w:rPr>
          <w:rFonts w:cs="Arial"/>
          <w:bCs/>
          <w:i/>
        </w:rPr>
        <w:t xml:space="preserve">of right </w:t>
      </w:r>
      <w:r>
        <w:rPr>
          <w:rFonts w:cs="Arial"/>
          <w:bCs/>
        </w:rPr>
        <w:t xml:space="preserve">and not </w:t>
      </w:r>
      <w:r>
        <w:rPr>
          <w:rFonts w:cs="Arial"/>
          <w:bCs/>
          <w:i/>
        </w:rPr>
        <w:t>as of right</w:t>
      </w:r>
      <w:r w:rsidR="009F209E">
        <w:rPr>
          <w:rFonts w:cs="Arial"/>
          <w:bCs/>
        </w:rPr>
        <w:t xml:space="preserve"> upon the byelaws being imposed in 1984.</w:t>
      </w:r>
    </w:p>
    <w:p w14:paraId="5BDE7E67" w14:textId="236A52F8" w:rsidR="00203750" w:rsidRDefault="00902D68" w:rsidP="00203750">
      <w:pPr>
        <w:pStyle w:val="BodyText"/>
        <w:spacing w:line="360" w:lineRule="auto"/>
        <w:jc w:val="both"/>
        <w:rPr>
          <w:rFonts w:cs="Arial"/>
          <w:b/>
          <w:bCs/>
          <w:u w:val="single"/>
        </w:rPr>
      </w:pPr>
      <w:r>
        <w:rPr>
          <w:rFonts w:cs="Arial"/>
          <w:b/>
          <w:bCs/>
          <w:u w:val="single"/>
        </w:rPr>
        <w:t xml:space="preserve">The </w:t>
      </w:r>
      <w:r w:rsidR="0032129B">
        <w:rPr>
          <w:rFonts w:cs="Arial"/>
          <w:b/>
          <w:bCs/>
          <w:u w:val="single"/>
        </w:rPr>
        <w:t xml:space="preserve">combined effect of the </w:t>
      </w:r>
      <w:r>
        <w:rPr>
          <w:rFonts w:cs="Arial"/>
          <w:b/>
          <w:bCs/>
          <w:u w:val="single"/>
        </w:rPr>
        <w:t xml:space="preserve">Barkas and Newhaven </w:t>
      </w:r>
      <w:r w:rsidR="00440161">
        <w:rPr>
          <w:rFonts w:cs="Arial"/>
          <w:b/>
          <w:bCs/>
          <w:u w:val="single"/>
        </w:rPr>
        <w:t>appeals</w:t>
      </w:r>
    </w:p>
    <w:p w14:paraId="301608DF" w14:textId="62C58F36" w:rsidR="000C5299" w:rsidRPr="000E684A" w:rsidRDefault="0063572D" w:rsidP="00203750">
      <w:pPr>
        <w:pStyle w:val="BodyText"/>
        <w:numPr>
          <w:ilvl w:val="0"/>
          <w:numId w:val="1"/>
        </w:numPr>
        <w:spacing w:line="360" w:lineRule="auto"/>
        <w:jc w:val="both"/>
      </w:pPr>
      <w:r>
        <w:rPr>
          <w:rFonts w:cs="Arial"/>
          <w:bCs/>
        </w:rPr>
        <w:t>One of the</w:t>
      </w:r>
      <w:r w:rsidR="005E36B4">
        <w:rPr>
          <w:rFonts w:cs="Arial"/>
          <w:bCs/>
        </w:rPr>
        <w:t xml:space="preserve"> original issue</w:t>
      </w:r>
      <w:r w:rsidR="00930A39">
        <w:rPr>
          <w:rFonts w:cs="Arial"/>
          <w:bCs/>
        </w:rPr>
        <w:t>s</w:t>
      </w:r>
      <w:r w:rsidR="005E36B4">
        <w:rPr>
          <w:rFonts w:cs="Arial"/>
          <w:bCs/>
        </w:rPr>
        <w:t xml:space="preserve"> I identified was whether the </w:t>
      </w:r>
      <w:r w:rsidR="00CE3AB9">
        <w:rPr>
          <w:rFonts w:cs="Arial"/>
          <w:bCs/>
        </w:rPr>
        <w:t xml:space="preserve">Registration Authority ought to wait for the outcome of both the </w:t>
      </w:r>
      <w:r w:rsidR="00CE3AB9" w:rsidRPr="00CE3AB9">
        <w:rPr>
          <w:rFonts w:cs="Arial"/>
          <w:bCs/>
          <w:i/>
        </w:rPr>
        <w:t>Barkas</w:t>
      </w:r>
      <w:r w:rsidR="00CE3AB9">
        <w:rPr>
          <w:rFonts w:cs="Arial"/>
          <w:bCs/>
        </w:rPr>
        <w:t xml:space="preserve"> and </w:t>
      </w:r>
      <w:r w:rsidR="00CE3AB9" w:rsidRPr="00CE3AB9">
        <w:rPr>
          <w:rFonts w:cs="Arial"/>
          <w:bCs/>
          <w:i/>
        </w:rPr>
        <w:t>Newhaven</w:t>
      </w:r>
      <w:r w:rsidR="00CE3AB9">
        <w:rPr>
          <w:rFonts w:cs="Arial"/>
          <w:bCs/>
        </w:rPr>
        <w:t xml:space="preserve"> </w:t>
      </w:r>
      <w:r w:rsidR="00615968">
        <w:rPr>
          <w:rFonts w:cs="Arial"/>
          <w:bCs/>
        </w:rPr>
        <w:t>appeals</w:t>
      </w:r>
      <w:r w:rsidR="00CE3AB9">
        <w:rPr>
          <w:rFonts w:cs="Arial"/>
          <w:bCs/>
        </w:rPr>
        <w:t xml:space="preserve"> in the Supreme Court. However, as identified above </w:t>
      </w:r>
      <w:proofErr w:type="spellStart"/>
      <w:r w:rsidR="00CE3AB9">
        <w:rPr>
          <w:rFonts w:cs="Arial"/>
          <w:bCs/>
        </w:rPr>
        <w:t>i</w:t>
      </w:r>
      <w:proofErr w:type="spellEnd"/>
      <w:r w:rsidR="00CE3AB9">
        <w:rPr>
          <w:rFonts w:cs="Arial"/>
          <w:bCs/>
        </w:rPr>
        <w:t xml:space="preserve">) the Applicant has conceded that it does not wish to pursue a case under s.15(7)(b) of the 2006 Act and ii) this ought, in my view, be accepted. It is not therefore </w:t>
      </w:r>
      <w:r w:rsidR="00607EE6">
        <w:rPr>
          <w:rFonts w:cs="Arial"/>
          <w:bCs/>
        </w:rPr>
        <w:t xml:space="preserve">my recommendation </w:t>
      </w:r>
      <w:r w:rsidR="00CE3AB9">
        <w:rPr>
          <w:rFonts w:cs="Arial"/>
          <w:bCs/>
        </w:rPr>
        <w:t xml:space="preserve">to wait until after </w:t>
      </w:r>
      <w:r w:rsidR="00CE3AB9">
        <w:rPr>
          <w:rFonts w:cs="Arial"/>
          <w:bCs/>
          <w:i/>
        </w:rPr>
        <w:t xml:space="preserve">Newhaven </w:t>
      </w:r>
      <w:r w:rsidR="00CE3AB9">
        <w:rPr>
          <w:rFonts w:cs="Arial"/>
          <w:bCs/>
        </w:rPr>
        <w:t>has been decided or consider the import of s.1</w:t>
      </w:r>
      <w:r w:rsidR="00AA7F0B">
        <w:rPr>
          <w:rFonts w:cs="Arial"/>
          <w:bCs/>
        </w:rPr>
        <w:t xml:space="preserve">5(7)(b) further. </w:t>
      </w:r>
    </w:p>
    <w:p w14:paraId="2039AEF8" w14:textId="307FA996" w:rsidR="000E684A" w:rsidRPr="00790B18" w:rsidRDefault="00C230EA" w:rsidP="00203750">
      <w:pPr>
        <w:pStyle w:val="BodyText"/>
        <w:numPr>
          <w:ilvl w:val="0"/>
          <w:numId w:val="1"/>
        </w:numPr>
        <w:spacing w:line="360" w:lineRule="auto"/>
        <w:jc w:val="both"/>
      </w:pPr>
      <w:r>
        <w:rPr>
          <w:rFonts w:cs="Arial"/>
          <w:bCs/>
        </w:rPr>
        <w:t>I should also, record here, that the Objector made it clear that it was not relying on the signage placed around the Knowle setting out that the land was subject to byelaws as giving an implied p</w:t>
      </w:r>
      <w:r w:rsidR="002C111F">
        <w:rPr>
          <w:rFonts w:cs="Arial"/>
          <w:bCs/>
        </w:rPr>
        <w:t xml:space="preserve">ermission to use the land. </w:t>
      </w:r>
      <w:r w:rsidR="006E70C2">
        <w:rPr>
          <w:rFonts w:cs="Arial"/>
          <w:bCs/>
        </w:rPr>
        <w:t xml:space="preserve">The issue of </w:t>
      </w:r>
      <w:r w:rsidR="00027F30">
        <w:rPr>
          <w:rFonts w:cs="Arial"/>
          <w:bCs/>
        </w:rPr>
        <w:t>byelaw</w:t>
      </w:r>
      <w:r w:rsidR="006E70C2">
        <w:rPr>
          <w:rFonts w:cs="Arial"/>
          <w:bCs/>
        </w:rPr>
        <w:t xml:space="preserve"> signs is another issue before the Supreme Court in </w:t>
      </w:r>
      <w:r w:rsidR="00BB7153">
        <w:rPr>
          <w:rFonts w:cs="Arial"/>
          <w:bCs/>
        </w:rPr>
        <w:t xml:space="preserve">the </w:t>
      </w:r>
      <w:r w:rsidR="00BB7153">
        <w:rPr>
          <w:rFonts w:cs="Arial"/>
          <w:bCs/>
          <w:i/>
        </w:rPr>
        <w:t xml:space="preserve">Newhaven </w:t>
      </w:r>
      <w:r w:rsidR="00BB7153">
        <w:rPr>
          <w:rFonts w:cs="Arial"/>
          <w:bCs/>
        </w:rPr>
        <w:t xml:space="preserve">case. </w:t>
      </w:r>
    </w:p>
    <w:p w14:paraId="554E7B1F" w14:textId="06F552E6" w:rsidR="000C5299" w:rsidRDefault="000C5299" w:rsidP="000C5299">
      <w:pPr>
        <w:pStyle w:val="BodyText"/>
        <w:spacing w:line="360" w:lineRule="auto"/>
        <w:jc w:val="both"/>
        <w:rPr>
          <w:rFonts w:cs="Arial"/>
          <w:b/>
          <w:bCs/>
          <w:u w:val="single"/>
        </w:rPr>
      </w:pPr>
      <w:r>
        <w:rPr>
          <w:rFonts w:cs="Arial"/>
          <w:b/>
          <w:bCs/>
          <w:u w:val="single"/>
        </w:rPr>
        <w:t xml:space="preserve">Should a full inquiry be proceeded with in relation to any portion of the land? </w:t>
      </w:r>
    </w:p>
    <w:p w14:paraId="7091D334" w14:textId="56671169" w:rsidR="00BD3397" w:rsidRPr="009A3754" w:rsidRDefault="009B478E" w:rsidP="00BD3397">
      <w:pPr>
        <w:pStyle w:val="BodyText"/>
        <w:numPr>
          <w:ilvl w:val="0"/>
          <w:numId w:val="1"/>
        </w:numPr>
        <w:spacing w:line="360" w:lineRule="auto"/>
        <w:jc w:val="both"/>
      </w:pPr>
      <w:r>
        <w:rPr>
          <w:rFonts w:cs="Arial"/>
          <w:bCs/>
        </w:rPr>
        <w:t xml:space="preserve">It follows from the above, that </w:t>
      </w:r>
      <w:r w:rsidR="00EE1BCC">
        <w:rPr>
          <w:rFonts w:cs="Arial"/>
          <w:bCs/>
        </w:rPr>
        <w:t xml:space="preserve">my recommendation is that is it unnecessary to consider the additional requirements of </w:t>
      </w:r>
      <w:proofErr w:type="gramStart"/>
      <w:r w:rsidR="00EE1BCC">
        <w:rPr>
          <w:rFonts w:cs="Arial"/>
          <w:bCs/>
        </w:rPr>
        <w:t>s.15(</w:t>
      </w:r>
      <w:proofErr w:type="gramEnd"/>
      <w:r w:rsidR="00EE1BCC">
        <w:rPr>
          <w:rFonts w:cs="Arial"/>
          <w:bCs/>
        </w:rPr>
        <w:t>2) of the 2006 Act</w:t>
      </w:r>
      <w:r w:rsidR="00FB3914">
        <w:rPr>
          <w:rFonts w:cs="Arial"/>
          <w:bCs/>
        </w:rPr>
        <w:t xml:space="preserve"> at a further public inquiry and that the applicatio</w:t>
      </w:r>
      <w:bookmarkStart w:id="0" w:name="_GoBack"/>
      <w:bookmarkEnd w:id="0"/>
      <w:r w:rsidR="00FB3914">
        <w:rPr>
          <w:rFonts w:cs="Arial"/>
          <w:bCs/>
        </w:rPr>
        <w:t>n ca</w:t>
      </w:r>
      <w:r w:rsidR="00792819">
        <w:rPr>
          <w:rFonts w:cs="Arial"/>
          <w:bCs/>
        </w:rPr>
        <w:t xml:space="preserve">n be rejected on the basis that the use of the </w:t>
      </w:r>
      <w:r w:rsidR="005851CC">
        <w:rPr>
          <w:rFonts w:cs="Arial"/>
          <w:bCs/>
        </w:rPr>
        <w:t xml:space="preserve">whole of </w:t>
      </w:r>
      <w:r w:rsidR="007E065E">
        <w:rPr>
          <w:rFonts w:cs="Arial"/>
          <w:bCs/>
        </w:rPr>
        <w:t xml:space="preserve">Knowle has been </w:t>
      </w:r>
      <w:r w:rsidR="007E065E">
        <w:rPr>
          <w:rFonts w:cs="Arial"/>
          <w:bCs/>
          <w:i/>
        </w:rPr>
        <w:t xml:space="preserve">by right </w:t>
      </w:r>
      <w:r w:rsidR="007E065E">
        <w:rPr>
          <w:rFonts w:cs="Arial"/>
          <w:bCs/>
        </w:rPr>
        <w:t>since 1984.</w:t>
      </w:r>
      <w:r w:rsidR="000F7385">
        <w:rPr>
          <w:rFonts w:cs="Arial"/>
          <w:bCs/>
        </w:rPr>
        <w:t xml:space="preserve"> </w:t>
      </w:r>
    </w:p>
    <w:p w14:paraId="351C28DB" w14:textId="493D664D" w:rsidR="001F491A" w:rsidRDefault="00E43049" w:rsidP="00062DDA">
      <w:pPr>
        <w:pStyle w:val="BodyText"/>
        <w:spacing w:line="360" w:lineRule="auto"/>
        <w:jc w:val="both"/>
        <w:rPr>
          <w:rFonts w:cs="Arial"/>
          <w:b/>
          <w:bCs/>
        </w:rPr>
      </w:pPr>
      <w:r>
        <w:rPr>
          <w:rFonts w:cs="Arial"/>
          <w:b/>
          <w:bCs/>
        </w:rPr>
        <w:lastRenderedPageBreak/>
        <w:t>CONCLUSON</w:t>
      </w:r>
    </w:p>
    <w:p w14:paraId="7EB2F455" w14:textId="0D2D533D" w:rsidR="00402939" w:rsidRPr="006657A8" w:rsidRDefault="00BD03AF" w:rsidP="00402939">
      <w:pPr>
        <w:pStyle w:val="BodyText"/>
        <w:numPr>
          <w:ilvl w:val="0"/>
          <w:numId w:val="1"/>
        </w:numPr>
        <w:spacing w:line="360" w:lineRule="auto"/>
        <w:jc w:val="both"/>
      </w:pPr>
      <w:r>
        <w:rPr>
          <w:rFonts w:cs="Arial"/>
          <w:bCs/>
        </w:rPr>
        <w:t xml:space="preserve">My recommendation is that this application be rejected. The Registration Authority </w:t>
      </w:r>
      <w:r w:rsidR="00670D7F">
        <w:rPr>
          <w:rFonts w:cs="Arial"/>
          <w:bCs/>
        </w:rPr>
        <w:t>is</w:t>
      </w:r>
      <w:r>
        <w:rPr>
          <w:rFonts w:cs="Arial"/>
          <w:bCs/>
        </w:rPr>
        <w:t xml:space="preserve"> required to give reasons to the parties for any decision that it takes. The reasons should be expressed to be “for the reasons outlined in the Inspector’s Report.”</w:t>
      </w:r>
      <w:r w:rsidR="00BD78A4">
        <w:rPr>
          <w:rFonts w:cs="Arial"/>
          <w:bCs/>
        </w:rPr>
        <w:t xml:space="preserve"> The reasons can be summarised thus:</w:t>
      </w:r>
      <w:r w:rsidR="005A3817">
        <w:rPr>
          <w:rFonts w:cs="Arial"/>
          <w:bCs/>
        </w:rPr>
        <w:t xml:space="preserve"> </w:t>
      </w:r>
    </w:p>
    <w:p w14:paraId="03DD6450" w14:textId="2E6EAE50" w:rsidR="006657A8" w:rsidRPr="006657A8" w:rsidRDefault="006657A8" w:rsidP="00415132">
      <w:pPr>
        <w:pStyle w:val="BodyText"/>
        <w:numPr>
          <w:ilvl w:val="0"/>
          <w:numId w:val="37"/>
        </w:numPr>
        <w:spacing w:line="360" w:lineRule="auto"/>
        <w:jc w:val="both"/>
      </w:pPr>
      <w:r>
        <w:rPr>
          <w:rFonts w:cs="Arial"/>
          <w:bCs/>
        </w:rPr>
        <w:t>The majority of the application site was expressly appropriated</w:t>
      </w:r>
      <w:r w:rsidR="00463959">
        <w:rPr>
          <w:rFonts w:cs="Arial"/>
          <w:bCs/>
        </w:rPr>
        <w:t xml:space="preserve"> to the purposes of s.164 of the Public Health Act</w:t>
      </w:r>
      <w:r>
        <w:rPr>
          <w:rFonts w:cs="Arial"/>
          <w:bCs/>
        </w:rPr>
        <w:t xml:space="preserve"> in 1973</w:t>
      </w:r>
      <w:r w:rsidR="007A6836">
        <w:rPr>
          <w:rFonts w:cs="Arial"/>
          <w:bCs/>
        </w:rPr>
        <w:t>.</w:t>
      </w:r>
    </w:p>
    <w:p w14:paraId="5F5E0091" w14:textId="0C2BD734" w:rsidR="006657A8" w:rsidRPr="006044A3" w:rsidRDefault="006657A8" w:rsidP="00415132">
      <w:pPr>
        <w:pStyle w:val="BodyText"/>
        <w:numPr>
          <w:ilvl w:val="0"/>
          <w:numId w:val="37"/>
        </w:numPr>
        <w:spacing w:line="360" w:lineRule="auto"/>
        <w:jc w:val="both"/>
      </w:pPr>
      <w:r>
        <w:rPr>
          <w:rFonts w:cs="Arial"/>
          <w:bCs/>
        </w:rPr>
        <w:t>The remainder of the application site was implicitly appropriated</w:t>
      </w:r>
      <w:r w:rsidR="00CE6F08">
        <w:rPr>
          <w:rFonts w:cs="Arial"/>
          <w:bCs/>
        </w:rPr>
        <w:t xml:space="preserve"> to the purposes of s.164 of the Public Health Act</w:t>
      </w:r>
      <w:r>
        <w:rPr>
          <w:rFonts w:cs="Arial"/>
          <w:bCs/>
        </w:rPr>
        <w:t xml:space="preserve"> in 1984</w:t>
      </w:r>
      <w:r w:rsidR="007A6836">
        <w:rPr>
          <w:rFonts w:cs="Arial"/>
          <w:bCs/>
        </w:rPr>
        <w:t>.</w:t>
      </w:r>
      <w:r w:rsidR="00CE6F08">
        <w:rPr>
          <w:rFonts w:cs="Arial"/>
          <w:bCs/>
        </w:rPr>
        <w:t xml:space="preserve"> </w:t>
      </w:r>
    </w:p>
    <w:p w14:paraId="5DC4E510" w14:textId="40C9AA60" w:rsidR="006044A3" w:rsidRPr="00414E55" w:rsidRDefault="006044A3" w:rsidP="00415132">
      <w:pPr>
        <w:pStyle w:val="BodyText"/>
        <w:numPr>
          <w:ilvl w:val="0"/>
          <w:numId w:val="37"/>
        </w:numPr>
        <w:spacing w:line="360" w:lineRule="auto"/>
        <w:jc w:val="both"/>
      </w:pPr>
      <w:r>
        <w:rPr>
          <w:rFonts w:cs="Arial"/>
          <w:bCs/>
        </w:rPr>
        <w:t xml:space="preserve">It is settled law that use pursuant to s.164 of the Public Health Act 1875 will be user </w:t>
      </w:r>
      <w:r>
        <w:rPr>
          <w:rFonts w:cs="Arial"/>
          <w:bCs/>
          <w:i/>
        </w:rPr>
        <w:t xml:space="preserve">by right </w:t>
      </w:r>
      <w:r>
        <w:rPr>
          <w:rFonts w:cs="Arial"/>
          <w:bCs/>
        </w:rPr>
        <w:t xml:space="preserve">and not </w:t>
      </w:r>
      <w:r>
        <w:rPr>
          <w:rFonts w:cs="Arial"/>
          <w:bCs/>
          <w:i/>
        </w:rPr>
        <w:t xml:space="preserve">as of right </w:t>
      </w:r>
      <w:r>
        <w:rPr>
          <w:rFonts w:cs="Arial"/>
          <w:bCs/>
        </w:rPr>
        <w:t>within the meaning of s.15(2) of the Commons Act 2006.</w:t>
      </w:r>
    </w:p>
    <w:p w14:paraId="50D557C9" w14:textId="262E1001" w:rsidR="00414E55" w:rsidRPr="007E0CB3" w:rsidRDefault="00E14936" w:rsidP="00402939">
      <w:pPr>
        <w:pStyle w:val="BodyText"/>
        <w:numPr>
          <w:ilvl w:val="0"/>
          <w:numId w:val="1"/>
        </w:numPr>
        <w:spacing w:line="360" w:lineRule="auto"/>
        <w:jc w:val="both"/>
      </w:pPr>
      <w:r>
        <w:rPr>
          <w:rFonts w:cs="Arial"/>
          <w:bCs/>
        </w:rPr>
        <w:t xml:space="preserve">Finally, I would record my thanks to the </w:t>
      </w:r>
      <w:r w:rsidR="00363E0B">
        <w:rPr>
          <w:rFonts w:cs="Arial"/>
          <w:bCs/>
        </w:rPr>
        <w:t xml:space="preserve">officers of the </w:t>
      </w:r>
      <w:r>
        <w:rPr>
          <w:rFonts w:cs="Arial"/>
          <w:bCs/>
        </w:rPr>
        <w:t>Registration Authority for making all the necessary arr</w:t>
      </w:r>
      <w:r w:rsidR="00682168">
        <w:rPr>
          <w:rFonts w:cs="Arial"/>
          <w:bCs/>
        </w:rPr>
        <w:t>angements for the inquiry</w:t>
      </w:r>
      <w:r w:rsidR="00017F8D">
        <w:rPr>
          <w:rFonts w:cs="Arial"/>
          <w:bCs/>
        </w:rPr>
        <w:t xml:space="preserve"> </w:t>
      </w:r>
      <w:r w:rsidR="00FD4E4B">
        <w:rPr>
          <w:rFonts w:cs="Arial"/>
          <w:bCs/>
        </w:rPr>
        <w:t xml:space="preserve">and liaising with the parties. </w:t>
      </w:r>
    </w:p>
    <w:p w14:paraId="57E3F6B3" w14:textId="77777777" w:rsidR="007E0CB3" w:rsidRDefault="007E0CB3" w:rsidP="007E0CB3">
      <w:pPr>
        <w:pStyle w:val="BodyText"/>
        <w:spacing w:line="360" w:lineRule="auto"/>
        <w:jc w:val="both"/>
        <w:rPr>
          <w:rFonts w:cs="Arial"/>
          <w:bCs/>
        </w:rPr>
      </w:pPr>
    </w:p>
    <w:p w14:paraId="3FA8D43B" w14:textId="77777777" w:rsidR="004C7E3A" w:rsidRDefault="004C7E3A" w:rsidP="007E0CB3">
      <w:pPr>
        <w:pStyle w:val="BodyText"/>
        <w:spacing w:line="360" w:lineRule="auto"/>
        <w:jc w:val="both"/>
        <w:rPr>
          <w:rFonts w:cs="Arial"/>
          <w:bCs/>
        </w:rPr>
      </w:pPr>
    </w:p>
    <w:p w14:paraId="781CFB68" w14:textId="77777777" w:rsidR="004C7E3A" w:rsidRPr="004C7E3A" w:rsidRDefault="004C7E3A" w:rsidP="004C7E3A">
      <w:pPr>
        <w:pStyle w:val="BodyText"/>
        <w:spacing w:line="360" w:lineRule="auto"/>
        <w:jc w:val="right"/>
        <w:rPr>
          <w:rFonts w:cs="Arial"/>
          <w:b/>
          <w:bCs/>
        </w:rPr>
      </w:pPr>
      <w:r w:rsidRPr="004C7E3A">
        <w:rPr>
          <w:rFonts w:cs="Arial"/>
          <w:b/>
          <w:bCs/>
        </w:rPr>
        <w:t>Paul Wilmshurst</w:t>
      </w:r>
    </w:p>
    <w:p w14:paraId="0AE5BD58" w14:textId="60E7A40B" w:rsidR="004C7E3A" w:rsidRPr="004C7E3A" w:rsidRDefault="004F396E" w:rsidP="004C7E3A">
      <w:pPr>
        <w:pStyle w:val="BodyText"/>
        <w:spacing w:line="360" w:lineRule="auto"/>
        <w:jc w:val="right"/>
        <w:rPr>
          <w:rFonts w:cs="Arial"/>
          <w:b/>
          <w:bCs/>
        </w:rPr>
      </w:pPr>
      <w:r>
        <w:rPr>
          <w:rFonts w:cs="Arial"/>
          <w:b/>
          <w:bCs/>
        </w:rPr>
        <w:t>05</w:t>
      </w:r>
      <w:r w:rsidR="004C7E3A">
        <w:rPr>
          <w:rFonts w:cs="Arial"/>
          <w:b/>
          <w:bCs/>
        </w:rPr>
        <w:t>/06/2014</w:t>
      </w:r>
    </w:p>
    <w:p w14:paraId="2A9D967D" w14:textId="047121CA" w:rsidR="004C7E3A" w:rsidRPr="004C7E3A" w:rsidRDefault="004C7E3A" w:rsidP="004C7E3A">
      <w:pPr>
        <w:pStyle w:val="BodyText"/>
        <w:spacing w:line="360" w:lineRule="auto"/>
        <w:jc w:val="right"/>
        <w:rPr>
          <w:rFonts w:cs="Arial"/>
          <w:b/>
          <w:bCs/>
        </w:rPr>
      </w:pPr>
      <w:r w:rsidRPr="004C7E3A">
        <w:rPr>
          <w:rFonts w:cs="Arial"/>
          <w:b/>
          <w:bCs/>
        </w:rPr>
        <w:t>9 Stone Buildings</w:t>
      </w:r>
      <w:r w:rsidR="00F33052">
        <w:rPr>
          <w:rFonts w:cs="Arial"/>
          <w:b/>
          <w:bCs/>
        </w:rPr>
        <w:t>,</w:t>
      </w:r>
    </w:p>
    <w:p w14:paraId="7AA2F1C1" w14:textId="0329E800" w:rsidR="004C7E3A" w:rsidRPr="004C7E3A" w:rsidRDefault="004C7E3A" w:rsidP="004C7E3A">
      <w:pPr>
        <w:pStyle w:val="BodyText"/>
        <w:spacing w:line="360" w:lineRule="auto"/>
        <w:jc w:val="right"/>
        <w:rPr>
          <w:rFonts w:cs="Arial"/>
          <w:b/>
          <w:bCs/>
        </w:rPr>
      </w:pPr>
      <w:r w:rsidRPr="004C7E3A">
        <w:rPr>
          <w:rFonts w:cs="Arial"/>
          <w:b/>
          <w:bCs/>
        </w:rPr>
        <w:t>Lincoln's Inn</w:t>
      </w:r>
      <w:r w:rsidR="00F33052">
        <w:rPr>
          <w:rFonts w:cs="Arial"/>
          <w:b/>
          <w:bCs/>
        </w:rPr>
        <w:t>,</w:t>
      </w:r>
    </w:p>
    <w:p w14:paraId="582169BB" w14:textId="79B60284" w:rsidR="004C7E3A" w:rsidRPr="004C7E3A" w:rsidRDefault="004C7E3A" w:rsidP="004C7E3A">
      <w:pPr>
        <w:pStyle w:val="BodyText"/>
        <w:spacing w:line="360" w:lineRule="auto"/>
        <w:jc w:val="right"/>
        <w:rPr>
          <w:rFonts w:cs="Arial"/>
          <w:b/>
          <w:bCs/>
        </w:rPr>
      </w:pPr>
      <w:r w:rsidRPr="004C7E3A">
        <w:rPr>
          <w:rFonts w:cs="Arial"/>
          <w:b/>
          <w:bCs/>
        </w:rPr>
        <w:t>London</w:t>
      </w:r>
      <w:r w:rsidR="00F33052">
        <w:rPr>
          <w:rFonts w:cs="Arial"/>
          <w:b/>
          <w:bCs/>
        </w:rPr>
        <w:t>,</w:t>
      </w:r>
      <w:r w:rsidRPr="004C7E3A">
        <w:rPr>
          <w:rFonts w:cs="Arial"/>
          <w:b/>
          <w:bCs/>
        </w:rPr>
        <w:t xml:space="preserve"> WC2A 3NN</w:t>
      </w:r>
    </w:p>
    <w:p w14:paraId="4AE2C143" w14:textId="77777777" w:rsidR="004C7E3A" w:rsidRDefault="004C7E3A" w:rsidP="007E0CB3">
      <w:pPr>
        <w:pStyle w:val="BodyText"/>
        <w:spacing w:line="360" w:lineRule="auto"/>
        <w:jc w:val="both"/>
        <w:rPr>
          <w:rFonts w:cs="Arial"/>
          <w:bCs/>
        </w:rPr>
      </w:pPr>
    </w:p>
    <w:p w14:paraId="5F7C0E63" w14:textId="77777777" w:rsidR="007E0CB3" w:rsidRDefault="007E0CB3" w:rsidP="007E0CB3">
      <w:pPr>
        <w:pStyle w:val="BodyText"/>
        <w:spacing w:line="360" w:lineRule="auto"/>
        <w:jc w:val="both"/>
      </w:pPr>
    </w:p>
    <w:p w14:paraId="536DD831" w14:textId="77777777" w:rsidR="00A71E3A" w:rsidRDefault="00A71E3A" w:rsidP="00B00241">
      <w:pPr>
        <w:spacing w:line="360" w:lineRule="auto"/>
      </w:pPr>
    </w:p>
    <w:sectPr w:rsidR="00A71E3A" w:rsidSect="008151ED">
      <w:headerReference w:type="default" r:id="rId8"/>
      <w:footerReference w:type="default" r:id="rId9"/>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E4195B" w14:textId="77777777" w:rsidR="005A3817" w:rsidRDefault="005A3817" w:rsidP="009E0856">
      <w:r>
        <w:separator/>
      </w:r>
    </w:p>
  </w:endnote>
  <w:endnote w:type="continuationSeparator" w:id="0">
    <w:p w14:paraId="79F6FCE1" w14:textId="77777777" w:rsidR="005A3817" w:rsidRDefault="005A3817" w:rsidP="009E0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E3C6A" w14:textId="4DE1310A" w:rsidR="00E10501" w:rsidRDefault="00E10501" w:rsidP="00E10501">
    <w:pPr>
      <w:pStyle w:val="Footer"/>
      <w:jc w:val="right"/>
    </w:pPr>
    <w:r>
      <w:rPr>
        <w:rFonts w:ascii="Times New Roman" w:hAnsi="Times New Roman" w:cs="Times New Roman"/>
        <w:lang w:val="en-US"/>
      </w:rPr>
      <w:t xml:space="preserve">Page </w:t>
    </w:r>
    <w:r>
      <w:rPr>
        <w:rFonts w:ascii="Times New Roman" w:hAnsi="Times New Roman" w:cs="Times New Roman"/>
        <w:lang w:val="en-US"/>
      </w:rPr>
      <w:fldChar w:fldCharType="begin"/>
    </w:r>
    <w:r>
      <w:rPr>
        <w:rFonts w:ascii="Times New Roman" w:hAnsi="Times New Roman" w:cs="Times New Roman"/>
        <w:lang w:val="en-US"/>
      </w:rPr>
      <w:instrText xml:space="preserve"> PAGE </w:instrText>
    </w:r>
    <w:r>
      <w:rPr>
        <w:rFonts w:ascii="Times New Roman" w:hAnsi="Times New Roman" w:cs="Times New Roman"/>
        <w:lang w:val="en-US"/>
      </w:rPr>
      <w:fldChar w:fldCharType="separate"/>
    </w:r>
    <w:r w:rsidR="00BD3397">
      <w:rPr>
        <w:rFonts w:ascii="Times New Roman" w:hAnsi="Times New Roman" w:cs="Times New Roman"/>
        <w:noProof/>
        <w:lang w:val="en-US"/>
      </w:rPr>
      <w:t>30</w:t>
    </w:r>
    <w:r>
      <w:rPr>
        <w:rFonts w:ascii="Times New Roman" w:hAnsi="Times New Roman" w:cs="Times New Roman"/>
        <w:lang w:val="en-US"/>
      </w:rPr>
      <w:fldChar w:fldCharType="end"/>
    </w:r>
    <w:r>
      <w:rPr>
        <w:rFonts w:ascii="Times New Roman" w:hAnsi="Times New Roman" w:cs="Times New Roman"/>
        <w:lang w:val="en-US"/>
      </w:rPr>
      <w:t xml:space="preserve"> of </w:t>
    </w:r>
    <w:r>
      <w:rPr>
        <w:rFonts w:ascii="Times New Roman" w:hAnsi="Times New Roman" w:cs="Times New Roman"/>
        <w:lang w:val="en-US"/>
      </w:rPr>
      <w:fldChar w:fldCharType="begin"/>
    </w:r>
    <w:r>
      <w:rPr>
        <w:rFonts w:ascii="Times New Roman" w:hAnsi="Times New Roman" w:cs="Times New Roman"/>
        <w:lang w:val="en-US"/>
      </w:rPr>
      <w:instrText xml:space="preserve"> NUMPAGES </w:instrText>
    </w:r>
    <w:r>
      <w:rPr>
        <w:rFonts w:ascii="Times New Roman" w:hAnsi="Times New Roman" w:cs="Times New Roman"/>
        <w:lang w:val="en-US"/>
      </w:rPr>
      <w:fldChar w:fldCharType="separate"/>
    </w:r>
    <w:r w:rsidR="00BD3397">
      <w:rPr>
        <w:rFonts w:ascii="Times New Roman" w:hAnsi="Times New Roman" w:cs="Times New Roman"/>
        <w:noProof/>
        <w:lang w:val="en-US"/>
      </w:rPr>
      <w:t>30</w:t>
    </w:r>
    <w:r>
      <w:rPr>
        <w:rFonts w:ascii="Times New Roman" w:hAnsi="Times New Roman" w:cs="Times New Roman"/>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AEE425" w14:textId="77777777" w:rsidR="005A3817" w:rsidRDefault="005A3817" w:rsidP="009E0856">
      <w:r>
        <w:separator/>
      </w:r>
    </w:p>
  </w:footnote>
  <w:footnote w:type="continuationSeparator" w:id="0">
    <w:p w14:paraId="6A8D27F0" w14:textId="77777777" w:rsidR="005A3817" w:rsidRDefault="005A3817" w:rsidP="009E0856">
      <w:r>
        <w:continuationSeparator/>
      </w:r>
    </w:p>
  </w:footnote>
  <w:footnote w:id="1">
    <w:p w14:paraId="4335226A" w14:textId="57AF8E6E" w:rsidR="005A3817" w:rsidRPr="00EB40B8" w:rsidRDefault="005A3817">
      <w:pPr>
        <w:pStyle w:val="FootnoteText"/>
        <w:rPr>
          <w:lang w:val="en-US"/>
        </w:rPr>
      </w:pPr>
      <w:r>
        <w:rPr>
          <w:rStyle w:val="FootnoteReference"/>
        </w:rPr>
        <w:footnoteRef/>
      </w:r>
      <w:r>
        <w:t xml:space="preserve"> Objector’s Bundle (“OB”) at p.4</w:t>
      </w:r>
    </w:p>
  </w:footnote>
  <w:footnote w:id="2">
    <w:p w14:paraId="075A313D" w14:textId="11BB659F" w:rsidR="00BC0EA7" w:rsidRPr="00BC0EA7" w:rsidRDefault="00BC0EA7">
      <w:pPr>
        <w:pStyle w:val="FootnoteText"/>
        <w:rPr>
          <w:lang w:val="en-US"/>
        </w:rPr>
      </w:pPr>
      <w:r>
        <w:rPr>
          <w:rStyle w:val="FootnoteReference"/>
        </w:rPr>
        <w:footnoteRef/>
      </w:r>
      <w:r>
        <w:t xml:space="preserve"> </w:t>
      </w:r>
      <w:r>
        <w:rPr>
          <w:lang w:val="en-US"/>
        </w:rPr>
        <w:t xml:space="preserve">OB at </w:t>
      </w:r>
      <w:r w:rsidR="002E067E">
        <w:rPr>
          <w:lang w:val="en-US"/>
        </w:rPr>
        <w:t xml:space="preserve">p. </w:t>
      </w:r>
      <w:r>
        <w:rPr>
          <w:lang w:val="en-US"/>
        </w:rPr>
        <w:t>86b</w:t>
      </w:r>
    </w:p>
  </w:footnote>
  <w:footnote w:id="3">
    <w:p w14:paraId="30338DFC" w14:textId="3054F3EF" w:rsidR="005A3817" w:rsidRPr="009E0856" w:rsidRDefault="005A3817" w:rsidP="004E5EA6">
      <w:pPr>
        <w:pStyle w:val="FootnoteText"/>
        <w:rPr>
          <w:lang w:val="en-US"/>
        </w:rPr>
      </w:pPr>
      <w:r>
        <w:rPr>
          <w:rStyle w:val="FootnoteReference"/>
        </w:rPr>
        <w:footnoteRef/>
      </w:r>
      <w:r>
        <w:t xml:space="preserve"> </w:t>
      </w:r>
      <w:r>
        <w:rPr>
          <w:lang w:val="en-US"/>
        </w:rPr>
        <w:t>Registration Authority Bundle (“RA”) at pp. 138 – 140</w:t>
      </w:r>
    </w:p>
  </w:footnote>
  <w:footnote w:id="4">
    <w:p w14:paraId="0FB66369" w14:textId="3B0F1D3F" w:rsidR="00DB2F1A" w:rsidRPr="00DB2F1A" w:rsidRDefault="00DB2F1A">
      <w:pPr>
        <w:pStyle w:val="FootnoteText"/>
        <w:rPr>
          <w:lang w:val="en-US"/>
        </w:rPr>
      </w:pPr>
      <w:r>
        <w:rPr>
          <w:rStyle w:val="FootnoteReference"/>
        </w:rPr>
        <w:footnoteRef/>
      </w:r>
      <w:r>
        <w:t xml:space="preserve"> </w:t>
      </w:r>
      <w:r>
        <w:rPr>
          <w:lang w:val="en-US"/>
        </w:rPr>
        <w:t>Applicant’s Bundle</w:t>
      </w:r>
      <w:r w:rsidR="007B53DD">
        <w:rPr>
          <w:lang w:val="en-US"/>
        </w:rPr>
        <w:t xml:space="preserve"> (“AP”)</w:t>
      </w:r>
      <w:r>
        <w:rPr>
          <w:lang w:val="en-US"/>
        </w:rPr>
        <w:t xml:space="preserve"> at p. </w:t>
      </w:r>
      <w:r w:rsidR="007B53DD">
        <w:rPr>
          <w:lang w:val="en-US"/>
        </w:rPr>
        <w:t>2</w:t>
      </w:r>
    </w:p>
  </w:footnote>
  <w:footnote w:id="5">
    <w:p w14:paraId="24DA6668" w14:textId="3904D1BA" w:rsidR="005A3817" w:rsidRPr="00240180" w:rsidRDefault="005A3817">
      <w:pPr>
        <w:pStyle w:val="FootnoteText"/>
        <w:rPr>
          <w:lang w:val="en-US"/>
        </w:rPr>
      </w:pPr>
      <w:r>
        <w:rPr>
          <w:rStyle w:val="FootnoteReference"/>
        </w:rPr>
        <w:footnoteRef/>
      </w:r>
      <w:r>
        <w:t xml:space="preserve"> </w:t>
      </w:r>
      <w:r>
        <w:rPr>
          <w:lang w:val="en-US"/>
        </w:rPr>
        <w:t>OB at p. 30 - 31</w:t>
      </w:r>
    </w:p>
  </w:footnote>
  <w:footnote w:id="6">
    <w:p w14:paraId="69D45284" w14:textId="77777777" w:rsidR="005A3817" w:rsidRPr="00BB4ADD" w:rsidRDefault="005A3817" w:rsidP="00646ACE">
      <w:pPr>
        <w:pStyle w:val="FootnoteText"/>
        <w:rPr>
          <w:lang w:val="en-US"/>
        </w:rPr>
      </w:pPr>
      <w:r>
        <w:rPr>
          <w:rStyle w:val="FootnoteReference"/>
        </w:rPr>
        <w:footnoteRef/>
      </w:r>
      <w:r>
        <w:t xml:space="preserve"> </w:t>
      </w:r>
      <w:r>
        <w:rPr>
          <w:lang w:val="en-US"/>
        </w:rPr>
        <w:t>at [61]</w:t>
      </w:r>
    </w:p>
  </w:footnote>
  <w:footnote w:id="7">
    <w:p w14:paraId="45F0A510" w14:textId="5EA0E9FE" w:rsidR="005A3817" w:rsidRPr="006B72B0" w:rsidRDefault="005A3817">
      <w:pPr>
        <w:pStyle w:val="FootnoteText"/>
        <w:rPr>
          <w:lang w:val="en-US"/>
        </w:rPr>
      </w:pPr>
      <w:r>
        <w:rPr>
          <w:rStyle w:val="FootnoteReference"/>
        </w:rPr>
        <w:footnoteRef/>
      </w:r>
      <w:r>
        <w:t xml:space="preserve"> See </w:t>
      </w:r>
      <w:proofErr w:type="spellStart"/>
      <w:r w:rsidRPr="0038735B">
        <w:rPr>
          <w:bCs/>
          <w:i/>
          <w:lang w:val="en-US"/>
        </w:rPr>
        <w:t>Oxfordshire</w:t>
      </w:r>
      <w:proofErr w:type="spellEnd"/>
      <w:r w:rsidRPr="0038735B">
        <w:rPr>
          <w:bCs/>
          <w:i/>
          <w:lang w:val="en-US"/>
        </w:rPr>
        <w:t xml:space="preserve"> County Council v Oxford City Council and another</w:t>
      </w:r>
      <w:r w:rsidRPr="0038735B">
        <w:rPr>
          <w:bCs/>
          <w:lang w:val="en-US"/>
        </w:rPr>
        <w:t xml:space="preserve"> [2005] 3 W.L.R. 1043 </w:t>
      </w:r>
      <w:r w:rsidRPr="0038735B">
        <w:rPr>
          <w:bCs/>
        </w:rPr>
        <w:t>at [104]</w:t>
      </w:r>
      <w:r>
        <w:rPr>
          <w:bCs/>
        </w:rPr>
        <w:t xml:space="preserve"> </w:t>
      </w:r>
      <w:r>
        <w:rPr>
          <w:bCs/>
          <w:i/>
        </w:rPr>
        <w:t>per</w:t>
      </w:r>
      <w:r>
        <w:rPr>
          <w:bCs/>
        </w:rPr>
        <w:t xml:space="preserve"> </w:t>
      </w:r>
      <w:proofErr w:type="spellStart"/>
      <w:r w:rsidRPr="0038735B">
        <w:rPr>
          <w:bCs/>
        </w:rPr>
        <w:t>Carnwath</w:t>
      </w:r>
      <w:proofErr w:type="spellEnd"/>
      <w:r w:rsidRPr="0038735B">
        <w:rPr>
          <w:bCs/>
        </w:rPr>
        <w:t xml:space="preserve"> LJ </w:t>
      </w:r>
    </w:p>
  </w:footnote>
  <w:footnote w:id="8">
    <w:p w14:paraId="4CF4BB98" w14:textId="6D8057DF" w:rsidR="005A3817" w:rsidRPr="00962130" w:rsidRDefault="005A3817">
      <w:pPr>
        <w:pStyle w:val="FootnoteText"/>
        <w:rPr>
          <w:lang w:val="en-US"/>
        </w:rPr>
      </w:pPr>
      <w:r>
        <w:rPr>
          <w:rStyle w:val="FootnoteReference"/>
        </w:rPr>
        <w:footnoteRef/>
      </w:r>
      <w:r>
        <w:t xml:space="preserve"> </w:t>
      </w:r>
      <w:r>
        <w:rPr>
          <w:lang w:val="en-US"/>
        </w:rPr>
        <w:t xml:space="preserve">AP at p. 14 </w:t>
      </w:r>
      <w:r w:rsidR="004B5BD2">
        <w:rPr>
          <w:lang w:val="en-US"/>
        </w:rPr>
        <w:t>–</w:t>
      </w:r>
      <w:r>
        <w:rPr>
          <w:lang w:val="en-US"/>
        </w:rPr>
        <w:t xml:space="preserve"> 15</w:t>
      </w:r>
      <w:r w:rsidR="004B5BD2">
        <w:rPr>
          <w:lang w:val="en-US"/>
        </w:rPr>
        <w:t xml:space="preserve"> (and see below)</w:t>
      </w:r>
    </w:p>
  </w:footnote>
  <w:footnote w:id="9">
    <w:p w14:paraId="4E4A46DD" w14:textId="302B08E9" w:rsidR="005A3817" w:rsidRPr="007C2BA0" w:rsidRDefault="005A3817">
      <w:pPr>
        <w:pStyle w:val="FootnoteText"/>
        <w:rPr>
          <w:lang w:val="en-US"/>
        </w:rPr>
      </w:pPr>
      <w:r>
        <w:rPr>
          <w:rStyle w:val="FootnoteReference"/>
        </w:rPr>
        <w:footnoteRef/>
      </w:r>
      <w:r>
        <w:t xml:space="preserve"> </w:t>
      </w:r>
      <w:r>
        <w:rPr>
          <w:lang w:val="en-US"/>
        </w:rPr>
        <w:t>OB at p. 30</w:t>
      </w:r>
    </w:p>
  </w:footnote>
  <w:footnote w:id="10">
    <w:p w14:paraId="3CBFCA95" w14:textId="0F44D4B5" w:rsidR="005A3817" w:rsidRPr="00093E3B" w:rsidRDefault="005A3817">
      <w:pPr>
        <w:pStyle w:val="FootnoteText"/>
        <w:rPr>
          <w:lang w:val="en-US"/>
        </w:rPr>
      </w:pPr>
      <w:r>
        <w:rPr>
          <w:rStyle w:val="FootnoteReference"/>
        </w:rPr>
        <w:footnoteRef/>
      </w:r>
      <w:r>
        <w:t xml:space="preserve"> </w:t>
      </w:r>
      <w:r>
        <w:rPr>
          <w:lang w:val="en-US"/>
        </w:rPr>
        <w:t>OB at p. 9; see also the original size version: RA at p. 16</w:t>
      </w:r>
    </w:p>
  </w:footnote>
  <w:footnote w:id="11">
    <w:p w14:paraId="324E28A0" w14:textId="77777777" w:rsidR="005A3817" w:rsidRPr="00B16CA1" w:rsidRDefault="005A3817" w:rsidP="00C56FFD">
      <w:pPr>
        <w:pStyle w:val="FootnoteText"/>
        <w:rPr>
          <w:lang w:val="en-US"/>
        </w:rPr>
      </w:pPr>
      <w:r>
        <w:rPr>
          <w:rStyle w:val="FootnoteReference"/>
        </w:rPr>
        <w:footnoteRef/>
      </w:r>
      <w:r>
        <w:t xml:space="preserve"> </w:t>
      </w:r>
      <w:r>
        <w:rPr>
          <w:lang w:val="en-US"/>
        </w:rPr>
        <w:t>OB at p. 31</w:t>
      </w:r>
    </w:p>
  </w:footnote>
  <w:footnote w:id="12">
    <w:p w14:paraId="3DB0B1C7" w14:textId="57E1C62A" w:rsidR="005A3817" w:rsidRPr="003D0BCE" w:rsidRDefault="005A3817">
      <w:pPr>
        <w:pStyle w:val="FootnoteText"/>
        <w:rPr>
          <w:lang w:val="en-US"/>
        </w:rPr>
      </w:pPr>
      <w:r>
        <w:rPr>
          <w:rStyle w:val="FootnoteReference"/>
        </w:rPr>
        <w:footnoteRef/>
      </w:r>
      <w:r>
        <w:t xml:space="preserve"> </w:t>
      </w:r>
      <w:r>
        <w:rPr>
          <w:lang w:val="en-US"/>
        </w:rPr>
        <w:t xml:space="preserve">OB at pp. 33-40 &amp; pp. 41 – 47 </w:t>
      </w:r>
    </w:p>
  </w:footnote>
  <w:footnote w:id="13">
    <w:p w14:paraId="57B8A63D" w14:textId="7B782737" w:rsidR="005A3817" w:rsidRPr="00813F3E" w:rsidRDefault="005A3817">
      <w:pPr>
        <w:pStyle w:val="FootnoteText"/>
        <w:rPr>
          <w:lang w:val="en-US"/>
        </w:rPr>
      </w:pPr>
      <w:r>
        <w:rPr>
          <w:rStyle w:val="FootnoteReference"/>
        </w:rPr>
        <w:footnoteRef/>
      </w:r>
      <w:r>
        <w:t xml:space="preserve"> </w:t>
      </w:r>
      <w:r>
        <w:rPr>
          <w:lang w:val="en-US"/>
        </w:rPr>
        <w:t>OB at pp. 50 – 54</w:t>
      </w:r>
    </w:p>
  </w:footnote>
  <w:footnote w:id="14">
    <w:p w14:paraId="184D4015" w14:textId="42BBED6E" w:rsidR="005A3817" w:rsidRPr="005668C0" w:rsidRDefault="005A3817">
      <w:pPr>
        <w:pStyle w:val="FootnoteText"/>
        <w:rPr>
          <w:lang w:val="en-US"/>
        </w:rPr>
      </w:pPr>
      <w:r>
        <w:rPr>
          <w:rStyle w:val="FootnoteReference"/>
        </w:rPr>
        <w:footnoteRef/>
      </w:r>
      <w:r>
        <w:t xml:space="preserve"> </w:t>
      </w:r>
      <w:r>
        <w:rPr>
          <w:lang w:val="en-US"/>
        </w:rPr>
        <w:t>OB at p.55</w:t>
      </w:r>
    </w:p>
  </w:footnote>
  <w:footnote w:id="15">
    <w:p w14:paraId="0ADF4BE3" w14:textId="1B838B1B" w:rsidR="005A3817" w:rsidRPr="0024324F" w:rsidRDefault="005A3817">
      <w:pPr>
        <w:pStyle w:val="FootnoteText"/>
        <w:rPr>
          <w:lang w:val="en-US"/>
        </w:rPr>
      </w:pPr>
      <w:r>
        <w:rPr>
          <w:rStyle w:val="FootnoteReference"/>
        </w:rPr>
        <w:footnoteRef/>
      </w:r>
      <w:r>
        <w:t xml:space="preserve"> </w:t>
      </w:r>
      <w:r>
        <w:rPr>
          <w:lang w:val="en-US"/>
        </w:rPr>
        <w:t>OB at p.56</w:t>
      </w:r>
    </w:p>
  </w:footnote>
  <w:footnote w:id="16">
    <w:p w14:paraId="77AF60AB" w14:textId="24D67A77" w:rsidR="005A3817" w:rsidRPr="00EF0B55" w:rsidRDefault="005A3817">
      <w:pPr>
        <w:pStyle w:val="FootnoteText"/>
        <w:rPr>
          <w:lang w:val="en-US"/>
        </w:rPr>
      </w:pPr>
      <w:r>
        <w:rPr>
          <w:rStyle w:val="FootnoteReference"/>
        </w:rPr>
        <w:footnoteRef/>
      </w:r>
      <w:r>
        <w:t xml:space="preserve"> </w:t>
      </w:r>
      <w:r>
        <w:rPr>
          <w:rFonts w:cs="Arial"/>
          <w:bCs/>
        </w:rPr>
        <w:t>OB at p. 64</w:t>
      </w:r>
    </w:p>
  </w:footnote>
  <w:footnote w:id="17">
    <w:p w14:paraId="68C5523C" w14:textId="461BFDEF" w:rsidR="005A3817" w:rsidRPr="00F7655A" w:rsidRDefault="005A3817">
      <w:pPr>
        <w:pStyle w:val="FootnoteText"/>
        <w:rPr>
          <w:lang w:val="en-US"/>
        </w:rPr>
      </w:pPr>
      <w:r>
        <w:rPr>
          <w:rStyle w:val="FootnoteReference"/>
        </w:rPr>
        <w:footnoteRef/>
      </w:r>
      <w:r>
        <w:t xml:space="preserve"> </w:t>
      </w:r>
      <w:r>
        <w:rPr>
          <w:lang w:val="en-US"/>
        </w:rPr>
        <w:t>OB at p.70</w:t>
      </w:r>
    </w:p>
  </w:footnote>
  <w:footnote w:id="18">
    <w:p w14:paraId="20E2D6DE" w14:textId="3B8CBBF7" w:rsidR="005A3817" w:rsidRPr="00340719" w:rsidRDefault="005A3817">
      <w:pPr>
        <w:pStyle w:val="FootnoteText"/>
        <w:rPr>
          <w:lang w:val="en-US"/>
        </w:rPr>
      </w:pPr>
      <w:r>
        <w:rPr>
          <w:rStyle w:val="FootnoteReference"/>
        </w:rPr>
        <w:footnoteRef/>
      </w:r>
      <w:r>
        <w:t xml:space="preserve"> </w:t>
      </w:r>
      <w:r>
        <w:rPr>
          <w:lang w:val="en-US"/>
        </w:rPr>
        <w:t xml:space="preserve">A copy of the version sealed by the Objector was also produced: OB at pp. 73 – 84. </w:t>
      </w:r>
    </w:p>
  </w:footnote>
  <w:footnote w:id="19">
    <w:p w14:paraId="700AE919" w14:textId="1EA800BA" w:rsidR="005A3817" w:rsidRPr="009478AD" w:rsidRDefault="005A3817">
      <w:pPr>
        <w:pStyle w:val="FootnoteText"/>
        <w:rPr>
          <w:lang w:val="en-US"/>
        </w:rPr>
      </w:pPr>
      <w:r>
        <w:rPr>
          <w:rStyle w:val="FootnoteReference"/>
        </w:rPr>
        <w:footnoteRef/>
      </w:r>
      <w:r>
        <w:t xml:space="preserve"> </w:t>
      </w:r>
      <w:r>
        <w:rPr>
          <w:lang w:val="en-US"/>
        </w:rPr>
        <w:t xml:space="preserve">OB at pp. 10 – 13 </w:t>
      </w:r>
    </w:p>
  </w:footnote>
  <w:footnote w:id="20">
    <w:p w14:paraId="36426531" w14:textId="3ED3515C" w:rsidR="005A3817" w:rsidRPr="00F04162" w:rsidRDefault="005A3817">
      <w:pPr>
        <w:pStyle w:val="FootnoteText"/>
        <w:rPr>
          <w:lang w:val="en-US"/>
        </w:rPr>
      </w:pPr>
      <w:r>
        <w:rPr>
          <w:rStyle w:val="FootnoteReference"/>
        </w:rPr>
        <w:footnoteRef/>
      </w:r>
      <w:r>
        <w:t xml:space="preserve"> </w:t>
      </w:r>
      <w:r>
        <w:rPr>
          <w:lang w:val="en-US"/>
        </w:rPr>
        <w:t>There is also a letter from the Home Office dated 3 October 1996 confirming this: OB at p. 85</w:t>
      </w:r>
    </w:p>
  </w:footnote>
  <w:footnote w:id="21">
    <w:p w14:paraId="1018FB89" w14:textId="19F0907D" w:rsidR="005A3817" w:rsidRPr="001C6E4E" w:rsidRDefault="005A3817">
      <w:pPr>
        <w:pStyle w:val="FootnoteText"/>
        <w:rPr>
          <w:lang w:val="en-US"/>
        </w:rPr>
      </w:pPr>
      <w:r>
        <w:rPr>
          <w:rStyle w:val="FootnoteReference"/>
        </w:rPr>
        <w:footnoteRef/>
      </w:r>
      <w:r>
        <w:t xml:space="preserve"> RA at pp. 133 - 151</w:t>
      </w:r>
    </w:p>
  </w:footnote>
  <w:footnote w:id="22">
    <w:p w14:paraId="30615930" w14:textId="0A7B0831" w:rsidR="005A3817" w:rsidRPr="00BD6585" w:rsidRDefault="005A3817">
      <w:pPr>
        <w:pStyle w:val="FootnoteText"/>
        <w:rPr>
          <w:lang w:val="en-US"/>
        </w:rPr>
      </w:pPr>
      <w:r>
        <w:rPr>
          <w:rStyle w:val="FootnoteReference"/>
        </w:rPr>
        <w:footnoteRef/>
      </w:r>
      <w:r>
        <w:t xml:space="preserve"> </w:t>
      </w:r>
      <w:r>
        <w:rPr>
          <w:lang w:val="en-US"/>
        </w:rPr>
        <w:t>RA at p. 152</w:t>
      </w:r>
    </w:p>
  </w:footnote>
  <w:footnote w:id="23">
    <w:p w14:paraId="150A3C44" w14:textId="4173BFE9" w:rsidR="005A3817" w:rsidRPr="00AD37E5" w:rsidRDefault="005A3817">
      <w:pPr>
        <w:pStyle w:val="FootnoteText"/>
        <w:rPr>
          <w:lang w:val="en-US"/>
        </w:rPr>
      </w:pPr>
      <w:r>
        <w:rPr>
          <w:rStyle w:val="FootnoteReference"/>
        </w:rPr>
        <w:footnoteRef/>
      </w:r>
      <w:r>
        <w:t xml:space="preserve"> </w:t>
      </w:r>
      <w:r>
        <w:rPr>
          <w:lang w:val="en-US"/>
        </w:rPr>
        <w:t>RA at pp.156 - 164</w:t>
      </w:r>
    </w:p>
  </w:footnote>
  <w:footnote w:id="24">
    <w:p w14:paraId="059FCDD9" w14:textId="710270B6" w:rsidR="005A3817" w:rsidRPr="00214E88" w:rsidRDefault="005A3817">
      <w:pPr>
        <w:pStyle w:val="FootnoteText"/>
        <w:rPr>
          <w:lang w:val="en-US"/>
        </w:rPr>
      </w:pPr>
      <w:r>
        <w:rPr>
          <w:rStyle w:val="FootnoteReference"/>
        </w:rPr>
        <w:footnoteRef/>
      </w:r>
      <w:r>
        <w:t xml:space="preserve"> </w:t>
      </w:r>
      <w:r>
        <w:rPr>
          <w:lang w:val="en-US"/>
        </w:rPr>
        <w:t>RA at pp. 165 – 169</w:t>
      </w:r>
    </w:p>
  </w:footnote>
  <w:footnote w:id="25">
    <w:p w14:paraId="392195DA" w14:textId="724C74C9" w:rsidR="005A3817" w:rsidRPr="00EF53AE" w:rsidRDefault="005A3817">
      <w:pPr>
        <w:pStyle w:val="FootnoteText"/>
        <w:rPr>
          <w:lang w:val="en-US"/>
        </w:rPr>
      </w:pPr>
      <w:r>
        <w:rPr>
          <w:rStyle w:val="FootnoteReference"/>
        </w:rPr>
        <w:footnoteRef/>
      </w:r>
      <w:r>
        <w:t xml:space="preserve"> </w:t>
      </w:r>
      <w:r>
        <w:rPr>
          <w:lang w:val="en-US"/>
        </w:rPr>
        <w:t>RA at p. 175</w:t>
      </w:r>
    </w:p>
  </w:footnote>
  <w:footnote w:id="26">
    <w:p w14:paraId="24313EA5" w14:textId="41ABDAA2" w:rsidR="005A3817" w:rsidRPr="00095309" w:rsidRDefault="005A3817">
      <w:pPr>
        <w:pStyle w:val="FootnoteText"/>
        <w:rPr>
          <w:lang w:val="en-US"/>
        </w:rPr>
      </w:pPr>
      <w:r>
        <w:rPr>
          <w:rStyle w:val="FootnoteReference"/>
        </w:rPr>
        <w:footnoteRef/>
      </w:r>
      <w:r>
        <w:t xml:space="preserve"> </w:t>
      </w:r>
      <w:r>
        <w:rPr>
          <w:lang w:val="en-US"/>
        </w:rPr>
        <w:t>AP at p.12</w:t>
      </w:r>
    </w:p>
  </w:footnote>
  <w:footnote w:id="27">
    <w:p w14:paraId="56A8A839" w14:textId="0B4B0855" w:rsidR="005A3817" w:rsidRPr="007F2238" w:rsidRDefault="005A3817">
      <w:pPr>
        <w:pStyle w:val="FootnoteText"/>
        <w:rPr>
          <w:lang w:val="en-US"/>
        </w:rPr>
      </w:pPr>
      <w:r>
        <w:rPr>
          <w:rStyle w:val="FootnoteReference"/>
        </w:rPr>
        <w:footnoteRef/>
      </w:r>
      <w:r>
        <w:t xml:space="preserve"> </w:t>
      </w:r>
      <w:r>
        <w:rPr>
          <w:lang w:val="en-US"/>
        </w:rPr>
        <w:t>AP at 17</w:t>
      </w:r>
    </w:p>
  </w:footnote>
  <w:footnote w:id="28">
    <w:p w14:paraId="3D1DBC7C" w14:textId="23179E89" w:rsidR="005A3817" w:rsidRPr="00F54D98" w:rsidRDefault="005A3817">
      <w:pPr>
        <w:pStyle w:val="FootnoteText"/>
        <w:rPr>
          <w:lang w:val="en-US"/>
        </w:rPr>
      </w:pPr>
      <w:r>
        <w:rPr>
          <w:rStyle w:val="FootnoteReference"/>
        </w:rPr>
        <w:footnoteRef/>
      </w:r>
      <w:r>
        <w:t xml:space="preserve"> </w:t>
      </w:r>
      <w:r>
        <w:rPr>
          <w:lang w:val="en-US"/>
        </w:rPr>
        <w:t>AP at p.92</w:t>
      </w:r>
    </w:p>
  </w:footnote>
  <w:footnote w:id="29">
    <w:p w14:paraId="4A213966" w14:textId="2EB0F237" w:rsidR="005A3817" w:rsidRPr="00464DB8" w:rsidRDefault="005A3817">
      <w:pPr>
        <w:pStyle w:val="FootnoteText"/>
        <w:rPr>
          <w:lang w:val="en-US"/>
        </w:rPr>
      </w:pPr>
      <w:r>
        <w:rPr>
          <w:rStyle w:val="FootnoteReference"/>
        </w:rPr>
        <w:footnoteRef/>
      </w:r>
      <w:r>
        <w:t xml:space="preserve"> </w:t>
      </w:r>
      <w:r>
        <w:rPr>
          <w:lang w:val="en-US"/>
        </w:rPr>
        <w:t>For a plan showing locations of signage see OB at p. 113</w:t>
      </w:r>
    </w:p>
  </w:footnote>
  <w:footnote w:id="30">
    <w:p w14:paraId="14B6E8A7" w14:textId="36B1DA1F" w:rsidR="005A3817" w:rsidRPr="00B546B3" w:rsidRDefault="005A3817">
      <w:pPr>
        <w:pStyle w:val="FootnoteText"/>
        <w:rPr>
          <w:lang w:val="en-US"/>
        </w:rPr>
      </w:pPr>
      <w:r>
        <w:rPr>
          <w:rStyle w:val="FootnoteReference"/>
        </w:rPr>
        <w:footnoteRef/>
      </w:r>
      <w:r>
        <w:t xml:space="preserve"> </w:t>
      </w:r>
      <w:r>
        <w:rPr>
          <w:lang w:val="en-US"/>
        </w:rPr>
        <w:t>AP at 18</w:t>
      </w:r>
    </w:p>
  </w:footnote>
  <w:footnote w:id="31">
    <w:p w14:paraId="55C1E199" w14:textId="1F1264CA" w:rsidR="005A3817" w:rsidRPr="00AA6A9E" w:rsidRDefault="005A3817">
      <w:pPr>
        <w:pStyle w:val="FootnoteText"/>
        <w:rPr>
          <w:lang w:val="en-US"/>
        </w:rPr>
      </w:pPr>
      <w:r>
        <w:rPr>
          <w:rStyle w:val="FootnoteReference"/>
        </w:rPr>
        <w:footnoteRef/>
      </w:r>
      <w:r>
        <w:t xml:space="preserve"> </w:t>
      </w:r>
      <w:r>
        <w:rPr>
          <w:lang w:val="en-US"/>
        </w:rPr>
        <w:t>AP at 18a</w:t>
      </w:r>
    </w:p>
  </w:footnote>
  <w:footnote w:id="32">
    <w:p w14:paraId="10CDB0C3" w14:textId="78C32B97" w:rsidR="005A3817" w:rsidRPr="00204E49" w:rsidRDefault="005A3817">
      <w:pPr>
        <w:pStyle w:val="FootnoteText"/>
        <w:rPr>
          <w:lang w:val="en-US"/>
        </w:rPr>
      </w:pPr>
      <w:r>
        <w:rPr>
          <w:rStyle w:val="FootnoteReference"/>
        </w:rPr>
        <w:footnoteRef/>
      </w:r>
      <w:r>
        <w:t xml:space="preserve"> </w:t>
      </w:r>
      <w:r>
        <w:rPr>
          <w:lang w:val="en-US"/>
        </w:rPr>
        <w:t>OB at p. 18</w:t>
      </w:r>
    </w:p>
  </w:footnote>
  <w:footnote w:id="33">
    <w:p w14:paraId="5D29B2B7" w14:textId="567406EF" w:rsidR="005A3817" w:rsidRPr="00D50CDC" w:rsidRDefault="005A3817">
      <w:pPr>
        <w:pStyle w:val="FootnoteText"/>
        <w:rPr>
          <w:lang w:val="en-US"/>
        </w:rPr>
      </w:pPr>
      <w:r>
        <w:rPr>
          <w:rStyle w:val="FootnoteReference"/>
        </w:rPr>
        <w:footnoteRef/>
      </w:r>
      <w:r>
        <w:t xml:space="preserve"> </w:t>
      </w:r>
      <w:r>
        <w:rPr>
          <w:lang w:val="en-US"/>
        </w:rPr>
        <w:t>OB at p. 87</w:t>
      </w:r>
    </w:p>
  </w:footnote>
  <w:footnote w:id="34">
    <w:p w14:paraId="209A1FB5" w14:textId="054A16D3" w:rsidR="005A3817" w:rsidRPr="00E83333" w:rsidRDefault="005A3817">
      <w:pPr>
        <w:pStyle w:val="FootnoteText"/>
        <w:rPr>
          <w:lang w:val="en-US"/>
        </w:rPr>
      </w:pPr>
      <w:r>
        <w:rPr>
          <w:rStyle w:val="FootnoteReference"/>
        </w:rPr>
        <w:footnoteRef/>
      </w:r>
      <w:r>
        <w:t xml:space="preserve"> </w:t>
      </w:r>
      <w:r>
        <w:rPr>
          <w:lang w:val="en-US"/>
        </w:rPr>
        <w:t>OB at p.21; p.23a</w:t>
      </w:r>
    </w:p>
  </w:footnote>
  <w:footnote w:id="35">
    <w:p w14:paraId="2F6E305C" w14:textId="21710535" w:rsidR="005A3817" w:rsidRPr="00DF7CC1" w:rsidRDefault="005A3817">
      <w:pPr>
        <w:pStyle w:val="FootnoteText"/>
        <w:rPr>
          <w:lang w:val="en-US"/>
        </w:rPr>
      </w:pPr>
      <w:r>
        <w:rPr>
          <w:rStyle w:val="FootnoteReference"/>
        </w:rPr>
        <w:footnoteRef/>
      </w:r>
      <w:r>
        <w:t xml:space="preserve"> </w:t>
      </w:r>
      <w:r>
        <w:rPr>
          <w:lang w:val="en-US"/>
        </w:rPr>
        <w:t>OB at 86b</w:t>
      </w:r>
    </w:p>
  </w:footnote>
  <w:footnote w:id="36">
    <w:p w14:paraId="594639CB" w14:textId="29304EE1" w:rsidR="005A3817" w:rsidRPr="00444F55" w:rsidRDefault="005A3817">
      <w:pPr>
        <w:pStyle w:val="FootnoteText"/>
        <w:rPr>
          <w:lang w:val="en-US"/>
        </w:rPr>
      </w:pPr>
      <w:r>
        <w:rPr>
          <w:rStyle w:val="FootnoteReference"/>
        </w:rPr>
        <w:footnoteRef/>
      </w:r>
      <w:r>
        <w:t xml:space="preserve"> </w:t>
      </w:r>
      <w:r>
        <w:rPr>
          <w:lang w:val="en-US"/>
        </w:rPr>
        <w:t>Ob at p 86b</w:t>
      </w:r>
    </w:p>
  </w:footnote>
  <w:footnote w:id="37">
    <w:p w14:paraId="7C9F584B" w14:textId="1C5CA5C4" w:rsidR="005A3817" w:rsidRPr="00117C83" w:rsidRDefault="005A3817">
      <w:pPr>
        <w:pStyle w:val="FootnoteText"/>
        <w:rPr>
          <w:lang w:val="en-US"/>
        </w:rPr>
      </w:pPr>
      <w:r>
        <w:rPr>
          <w:rStyle w:val="FootnoteReference"/>
        </w:rPr>
        <w:footnoteRef/>
      </w:r>
      <w:r>
        <w:t xml:space="preserve"> </w:t>
      </w:r>
      <w:r>
        <w:rPr>
          <w:lang w:val="en-US"/>
        </w:rPr>
        <w:t>OB at p. 86d</w:t>
      </w:r>
    </w:p>
  </w:footnote>
  <w:footnote w:id="38">
    <w:p w14:paraId="7DD7C7E2" w14:textId="2622F5CF" w:rsidR="005A3817" w:rsidRPr="00C86613" w:rsidRDefault="005A3817">
      <w:pPr>
        <w:pStyle w:val="FootnoteText"/>
        <w:rPr>
          <w:lang w:val="en-US"/>
        </w:rPr>
      </w:pPr>
      <w:r>
        <w:rPr>
          <w:rStyle w:val="FootnoteReference"/>
        </w:rPr>
        <w:footnoteRef/>
      </w:r>
      <w:r>
        <w:t xml:space="preserve"> </w:t>
      </w:r>
      <w:r w:rsidRPr="00C86613">
        <w:rPr>
          <w:bCs/>
          <w:i/>
          <w:lang w:val="en-US"/>
        </w:rPr>
        <w:t>R. (on the application of Barkas) v North Yorkshire CC</w:t>
      </w:r>
      <w:r>
        <w:rPr>
          <w:bCs/>
          <w:i/>
          <w:lang w:val="en-US"/>
        </w:rPr>
        <w:t xml:space="preserve"> </w:t>
      </w:r>
      <w:r w:rsidRPr="00C86613">
        <w:rPr>
          <w:bCs/>
          <w:lang w:val="en-US"/>
        </w:rPr>
        <w:t>[2014] UKSC 31</w:t>
      </w:r>
      <w:r>
        <w:rPr>
          <w:bCs/>
          <w:lang w:val="en-US"/>
        </w:rPr>
        <w:t xml:space="preserve"> at [16]</w:t>
      </w:r>
    </w:p>
  </w:footnote>
  <w:footnote w:id="39">
    <w:p w14:paraId="6CCB4A38" w14:textId="1B8D59FA" w:rsidR="005A3817" w:rsidRPr="00F0010E" w:rsidRDefault="005A3817">
      <w:pPr>
        <w:pStyle w:val="FootnoteText"/>
        <w:rPr>
          <w:lang w:val="en-US"/>
        </w:rPr>
      </w:pPr>
      <w:r>
        <w:rPr>
          <w:rStyle w:val="FootnoteReference"/>
        </w:rPr>
        <w:footnoteRef/>
      </w:r>
      <w:r>
        <w:t xml:space="preserve"> For example, </w:t>
      </w:r>
      <w:r w:rsidRPr="00F0010E">
        <w:t xml:space="preserve">Lord Bingham said at [3] that user </w:t>
      </w:r>
      <w:r w:rsidRPr="00F0010E">
        <w:rPr>
          <w:i/>
        </w:rPr>
        <w:t>as of right</w:t>
      </w:r>
      <w:r w:rsidRPr="00F0010E">
        <w:t xml:space="preserve"> does not mean that the inhabitants should already have a legal right since the question is whether a party who lacks a legal right has acquired one by use over a stipulated period.</w:t>
      </w:r>
    </w:p>
  </w:footnote>
  <w:footnote w:id="40">
    <w:p w14:paraId="34940061" w14:textId="2937AA6E" w:rsidR="005A3817" w:rsidRPr="00255603" w:rsidRDefault="005A3817">
      <w:pPr>
        <w:pStyle w:val="FootnoteText"/>
        <w:rPr>
          <w:lang w:val="en-US"/>
        </w:rPr>
      </w:pPr>
      <w:r>
        <w:rPr>
          <w:rStyle w:val="FootnoteReference"/>
        </w:rPr>
        <w:footnoteRef/>
      </w:r>
      <w:r>
        <w:t xml:space="preserve"> </w:t>
      </w:r>
      <w:r>
        <w:rPr>
          <w:lang w:val="en-US"/>
        </w:rPr>
        <w:t xml:space="preserve">See </w:t>
      </w:r>
      <w:r w:rsidRPr="00255603">
        <w:rPr>
          <w:lang w:val="en-US"/>
        </w:rPr>
        <w:t xml:space="preserve">Lord Walker at </w:t>
      </w:r>
      <w:r>
        <w:rPr>
          <w:lang w:val="en-US"/>
        </w:rPr>
        <w:t>[</w:t>
      </w:r>
      <w:r w:rsidRPr="00255603">
        <w:rPr>
          <w:lang w:val="en-US"/>
        </w:rPr>
        <w:t>87</w:t>
      </w:r>
      <w:r>
        <w:rPr>
          <w:lang w:val="en-US"/>
        </w:rPr>
        <w:t>]</w:t>
      </w:r>
      <w:r w:rsidRPr="00255603">
        <w:rPr>
          <w:lang w:val="en-US"/>
        </w:rPr>
        <w:t xml:space="preserve"> and Lord Scott at </w:t>
      </w:r>
      <w:r>
        <w:rPr>
          <w:lang w:val="en-US"/>
        </w:rPr>
        <w:t>[30]</w:t>
      </w:r>
    </w:p>
  </w:footnote>
  <w:footnote w:id="41">
    <w:p w14:paraId="2E86513D" w14:textId="77777777" w:rsidR="005A3817" w:rsidRPr="00394BA2" w:rsidRDefault="005A3817" w:rsidP="00B22EA0">
      <w:pPr>
        <w:pStyle w:val="FootnoteText"/>
        <w:rPr>
          <w:sz w:val="20"/>
          <w:szCs w:val="20"/>
          <w:lang w:val="en-US"/>
        </w:rPr>
      </w:pPr>
      <w:r w:rsidRPr="00394BA2">
        <w:rPr>
          <w:rStyle w:val="FootnoteReference"/>
          <w:sz w:val="20"/>
          <w:szCs w:val="20"/>
        </w:rPr>
        <w:footnoteRef/>
      </w:r>
      <w:r w:rsidRPr="00394BA2">
        <w:rPr>
          <w:sz w:val="20"/>
          <w:szCs w:val="20"/>
        </w:rPr>
        <w:t xml:space="preserve"> </w:t>
      </w:r>
      <w:r w:rsidRPr="00697029">
        <w:rPr>
          <w:lang w:val="en-US"/>
        </w:rPr>
        <w:t>At [37]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8EC003" w14:textId="00600FEB" w:rsidR="00E10501" w:rsidRDefault="00E10501" w:rsidP="00E10501">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1A220D"/>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1C1743B"/>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45C64CC"/>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4BD6790"/>
    <w:multiLevelType w:val="hybridMultilevel"/>
    <w:tmpl w:val="E48097B4"/>
    <w:lvl w:ilvl="0" w:tplc="7856FC32">
      <w:start w:val="1"/>
      <w:numFmt w:val="decimal"/>
      <w:lvlText w:val="%1."/>
      <w:lvlJc w:val="left"/>
      <w:pPr>
        <w:ind w:left="360" w:hanging="360"/>
      </w:pPr>
      <w:rPr>
        <w:b w:val="0"/>
        <w:i w:val="0"/>
      </w:rPr>
    </w:lvl>
    <w:lvl w:ilvl="1" w:tplc="4BFC778E">
      <w:start w:val="1"/>
      <w:numFmt w:val="lowerLetter"/>
      <w:lvlText w:val="%2."/>
      <w:lvlJc w:val="left"/>
      <w:pPr>
        <w:ind w:left="1080" w:hanging="360"/>
      </w:pPr>
      <w:rPr>
        <w:b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7B55109"/>
    <w:multiLevelType w:val="hybridMultilevel"/>
    <w:tmpl w:val="F96A15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931AAD"/>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12028BB"/>
    <w:multiLevelType w:val="multilevel"/>
    <w:tmpl w:val="617E9052"/>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19A74559"/>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A8E7F28"/>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C360022"/>
    <w:multiLevelType w:val="hybridMultilevel"/>
    <w:tmpl w:val="A7308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C4B1E47"/>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1253B81"/>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242034D"/>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2862760"/>
    <w:multiLevelType w:val="hybridMultilevel"/>
    <w:tmpl w:val="B1E2B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D81C55"/>
    <w:multiLevelType w:val="hybridMultilevel"/>
    <w:tmpl w:val="649640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FB380E"/>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4D104B0"/>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5FB0DB3"/>
    <w:multiLevelType w:val="hybridMultilevel"/>
    <w:tmpl w:val="488485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B142DB5"/>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4CB643E"/>
    <w:multiLevelType w:val="hybridMultilevel"/>
    <w:tmpl w:val="BC98B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6860E7"/>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4A490BDC"/>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4BF716E6"/>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56583202"/>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0283313"/>
    <w:multiLevelType w:val="hybridMultilevel"/>
    <w:tmpl w:val="4E82578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1542EFD"/>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62994A02"/>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461912"/>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6911791"/>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7920A8A"/>
    <w:multiLevelType w:val="hybridMultilevel"/>
    <w:tmpl w:val="121C2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C170A0C"/>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E626867"/>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F7F3D1E"/>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3FF5DC7"/>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7AA975BD"/>
    <w:multiLevelType w:val="multilevel"/>
    <w:tmpl w:val="70E0BD92"/>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F6524BE"/>
    <w:multiLevelType w:val="hybridMultilevel"/>
    <w:tmpl w:val="93A48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4"/>
  </w:num>
  <w:num w:numId="3">
    <w:abstractNumId w:val="31"/>
  </w:num>
  <w:num w:numId="4">
    <w:abstractNumId w:val="33"/>
  </w:num>
  <w:num w:numId="5">
    <w:abstractNumId w:val="34"/>
  </w:num>
  <w:num w:numId="6">
    <w:abstractNumId w:val="19"/>
  </w:num>
  <w:num w:numId="7">
    <w:abstractNumId w:val="17"/>
  </w:num>
  <w:num w:numId="8">
    <w:abstractNumId w:val="1"/>
  </w:num>
  <w:num w:numId="9">
    <w:abstractNumId w:val="23"/>
  </w:num>
  <w:num w:numId="10">
    <w:abstractNumId w:val="28"/>
  </w:num>
  <w:num w:numId="11">
    <w:abstractNumId w:val="4"/>
  </w:num>
  <w:num w:numId="12">
    <w:abstractNumId w:val="3"/>
  </w:num>
  <w:num w:numId="13">
    <w:abstractNumId w:val="15"/>
  </w:num>
  <w:num w:numId="14">
    <w:abstractNumId w:val="27"/>
  </w:num>
  <w:num w:numId="15">
    <w:abstractNumId w:val="7"/>
  </w:num>
  <w:num w:numId="16">
    <w:abstractNumId w:val="24"/>
  </w:num>
  <w:num w:numId="17">
    <w:abstractNumId w:val="18"/>
  </w:num>
  <w:num w:numId="18">
    <w:abstractNumId w:val="26"/>
  </w:num>
  <w:num w:numId="19">
    <w:abstractNumId w:val="16"/>
  </w:num>
  <w:num w:numId="20">
    <w:abstractNumId w:val="25"/>
  </w:num>
  <w:num w:numId="21">
    <w:abstractNumId w:val="6"/>
  </w:num>
  <w:num w:numId="22">
    <w:abstractNumId w:val="5"/>
  </w:num>
  <w:num w:numId="23">
    <w:abstractNumId w:val="9"/>
  </w:num>
  <w:num w:numId="24">
    <w:abstractNumId w:val="36"/>
  </w:num>
  <w:num w:numId="25">
    <w:abstractNumId w:val="30"/>
  </w:num>
  <w:num w:numId="26">
    <w:abstractNumId w:val="0"/>
  </w:num>
  <w:num w:numId="27">
    <w:abstractNumId w:val="29"/>
  </w:num>
  <w:num w:numId="28">
    <w:abstractNumId w:val="10"/>
  </w:num>
  <w:num w:numId="29">
    <w:abstractNumId w:val="13"/>
  </w:num>
  <w:num w:numId="30">
    <w:abstractNumId w:val="12"/>
  </w:num>
  <w:num w:numId="31">
    <w:abstractNumId w:val="22"/>
  </w:num>
  <w:num w:numId="32">
    <w:abstractNumId w:val="32"/>
  </w:num>
  <w:num w:numId="33">
    <w:abstractNumId w:val="2"/>
  </w:num>
  <w:num w:numId="34">
    <w:abstractNumId w:val="8"/>
  </w:num>
  <w:num w:numId="35">
    <w:abstractNumId w:val="35"/>
  </w:num>
  <w:num w:numId="36">
    <w:abstractNumId w:val="11"/>
  </w:num>
  <w:num w:numId="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revisionView w:markup="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4DB"/>
    <w:rsid w:val="00002224"/>
    <w:rsid w:val="00003298"/>
    <w:rsid w:val="000036FD"/>
    <w:rsid w:val="00003DB8"/>
    <w:rsid w:val="00004E1C"/>
    <w:rsid w:val="00007DBB"/>
    <w:rsid w:val="00010A67"/>
    <w:rsid w:val="00011109"/>
    <w:rsid w:val="00011CF6"/>
    <w:rsid w:val="000129B6"/>
    <w:rsid w:val="0001437D"/>
    <w:rsid w:val="00014D99"/>
    <w:rsid w:val="00014ECB"/>
    <w:rsid w:val="00015D2B"/>
    <w:rsid w:val="000162E7"/>
    <w:rsid w:val="0001799B"/>
    <w:rsid w:val="00017F8D"/>
    <w:rsid w:val="00021880"/>
    <w:rsid w:val="00024514"/>
    <w:rsid w:val="00024A92"/>
    <w:rsid w:val="000271FD"/>
    <w:rsid w:val="000275F9"/>
    <w:rsid w:val="00027F30"/>
    <w:rsid w:val="000300D1"/>
    <w:rsid w:val="00030472"/>
    <w:rsid w:val="00030C7F"/>
    <w:rsid w:val="00031190"/>
    <w:rsid w:val="000312A8"/>
    <w:rsid w:val="0003224C"/>
    <w:rsid w:val="000324AC"/>
    <w:rsid w:val="000362FA"/>
    <w:rsid w:val="00040F09"/>
    <w:rsid w:val="00041EC2"/>
    <w:rsid w:val="00042A73"/>
    <w:rsid w:val="000437D1"/>
    <w:rsid w:val="00043F06"/>
    <w:rsid w:val="00044D81"/>
    <w:rsid w:val="000450AB"/>
    <w:rsid w:val="000460B7"/>
    <w:rsid w:val="00046232"/>
    <w:rsid w:val="00047727"/>
    <w:rsid w:val="00047A39"/>
    <w:rsid w:val="00047CAA"/>
    <w:rsid w:val="00050BF6"/>
    <w:rsid w:val="00050C67"/>
    <w:rsid w:val="000512A1"/>
    <w:rsid w:val="00051AF1"/>
    <w:rsid w:val="0005302D"/>
    <w:rsid w:val="00054477"/>
    <w:rsid w:val="000563EC"/>
    <w:rsid w:val="00057E96"/>
    <w:rsid w:val="000603ED"/>
    <w:rsid w:val="00060EDC"/>
    <w:rsid w:val="00062CAE"/>
    <w:rsid w:val="00062DDA"/>
    <w:rsid w:val="0006324D"/>
    <w:rsid w:val="0006356A"/>
    <w:rsid w:val="00063CE1"/>
    <w:rsid w:val="00064A37"/>
    <w:rsid w:val="000650F3"/>
    <w:rsid w:val="00066D65"/>
    <w:rsid w:val="00067240"/>
    <w:rsid w:val="0006777E"/>
    <w:rsid w:val="00067F23"/>
    <w:rsid w:val="00070E38"/>
    <w:rsid w:val="000717D5"/>
    <w:rsid w:val="0007351C"/>
    <w:rsid w:val="000743D9"/>
    <w:rsid w:val="000750B9"/>
    <w:rsid w:val="00077B1E"/>
    <w:rsid w:val="00080607"/>
    <w:rsid w:val="000812E2"/>
    <w:rsid w:val="0008446C"/>
    <w:rsid w:val="00084558"/>
    <w:rsid w:val="00084E24"/>
    <w:rsid w:val="000853DF"/>
    <w:rsid w:val="0008615D"/>
    <w:rsid w:val="00086EBE"/>
    <w:rsid w:val="000872FA"/>
    <w:rsid w:val="0008736F"/>
    <w:rsid w:val="00091CD2"/>
    <w:rsid w:val="00093A4E"/>
    <w:rsid w:val="00093E3B"/>
    <w:rsid w:val="0009519A"/>
    <w:rsid w:val="00095309"/>
    <w:rsid w:val="0009548D"/>
    <w:rsid w:val="00096745"/>
    <w:rsid w:val="00096BE9"/>
    <w:rsid w:val="00096DCA"/>
    <w:rsid w:val="00097152"/>
    <w:rsid w:val="00097BA4"/>
    <w:rsid w:val="000A2226"/>
    <w:rsid w:val="000A3365"/>
    <w:rsid w:val="000A3AED"/>
    <w:rsid w:val="000A4355"/>
    <w:rsid w:val="000A5590"/>
    <w:rsid w:val="000A5F25"/>
    <w:rsid w:val="000A6C0A"/>
    <w:rsid w:val="000A6C7C"/>
    <w:rsid w:val="000A7F1E"/>
    <w:rsid w:val="000B0F3F"/>
    <w:rsid w:val="000B3D7D"/>
    <w:rsid w:val="000B50DF"/>
    <w:rsid w:val="000B5ABA"/>
    <w:rsid w:val="000B6895"/>
    <w:rsid w:val="000B6F4F"/>
    <w:rsid w:val="000C04A7"/>
    <w:rsid w:val="000C2393"/>
    <w:rsid w:val="000C37C4"/>
    <w:rsid w:val="000C385B"/>
    <w:rsid w:val="000C3B9C"/>
    <w:rsid w:val="000C3D15"/>
    <w:rsid w:val="000C4737"/>
    <w:rsid w:val="000C4AC4"/>
    <w:rsid w:val="000C5299"/>
    <w:rsid w:val="000C58C1"/>
    <w:rsid w:val="000C76A8"/>
    <w:rsid w:val="000C7978"/>
    <w:rsid w:val="000C7C16"/>
    <w:rsid w:val="000D0C80"/>
    <w:rsid w:val="000D2CED"/>
    <w:rsid w:val="000D3DE1"/>
    <w:rsid w:val="000D5BAE"/>
    <w:rsid w:val="000D71EF"/>
    <w:rsid w:val="000E013C"/>
    <w:rsid w:val="000E092A"/>
    <w:rsid w:val="000E0A95"/>
    <w:rsid w:val="000E1132"/>
    <w:rsid w:val="000E11B7"/>
    <w:rsid w:val="000E170C"/>
    <w:rsid w:val="000E35F3"/>
    <w:rsid w:val="000E40D3"/>
    <w:rsid w:val="000E684A"/>
    <w:rsid w:val="000E764B"/>
    <w:rsid w:val="000E7CDA"/>
    <w:rsid w:val="000E7D2D"/>
    <w:rsid w:val="000F0252"/>
    <w:rsid w:val="000F0603"/>
    <w:rsid w:val="000F133E"/>
    <w:rsid w:val="000F2154"/>
    <w:rsid w:val="000F24DD"/>
    <w:rsid w:val="000F2562"/>
    <w:rsid w:val="000F2981"/>
    <w:rsid w:val="000F2C18"/>
    <w:rsid w:val="000F31FD"/>
    <w:rsid w:val="000F62CE"/>
    <w:rsid w:val="000F7385"/>
    <w:rsid w:val="000F7E8D"/>
    <w:rsid w:val="00100148"/>
    <w:rsid w:val="00100E12"/>
    <w:rsid w:val="00103FA7"/>
    <w:rsid w:val="001048E2"/>
    <w:rsid w:val="00105336"/>
    <w:rsid w:val="00105512"/>
    <w:rsid w:val="001107A6"/>
    <w:rsid w:val="00110C5D"/>
    <w:rsid w:val="00110CE1"/>
    <w:rsid w:val="00111E72"/>
    <w:rsid w:val="00112284"/>
    <w:rsid w:val="00112B96"/>
    <w:rsid w:val="00113AFD"/>
    <w:rsid w:val="00114B7E"/>
    <w:rsid w:val="0011632F"/>
    <w:rsid w:val="001166C9"/>
    <w:rsid w:val="00117C83"/>
    <w:rsid w:val="00117ED8"/>
    <w:rsid w:val="00120659"/>
    <w:rsid w:val="00120A4D"/>
    <w:rsid w:val="0012171E"/>
    <w:rsid w:val="001231DB"/>
    <w:rsid w:val="00123786"/>
    <w:rsid w:val="00124CBD"/>
    <w:rsid w:val="0012704D"/>
    <w:rsid w:val="00127074"/>
    <w:rsid w:val="0012741A"/>
    <w:rsid w:val="00127E9B"/>
    <w:rsid w:val="00133A0A"/>
    <w:rsid w:val="0013411E"/>
    <w:rsid w:val="001350BD"/>
    <w:rsid w:val="001354F2"/>
    <w:rsid w:val="001357BD"/>
    <w:rsid w:val="00135897"/>
    <w:rsid w:val="001370EC"/>
    <w:rsid w:val="00137D82"/>
    <w:rsid w:val="00140CB8"/>
    <w:rsid w:val="0014271A"/>
    <w:rsid w:val="0014277B"/>
    <w:rsid w:val="00142991"/>
    <w:rsid w:val="00142D04"/>
    <w:rsid w:val="001438D5"/>
    <w:rsid w:val="00143A0A"/>
    <w:rsid w:val="00143E3C"/>
    <w:rsid w:val="00144D1F"/>
    <w:rsid w:val="00144E5A"/>
    <w:rsid w:val="0014612F"/>
    <w:rsid w:val="001464C2"/>
    <w:rsid w:val="001467E3"/>
    <w:rsid w:val="001471EE"/>
    <w:rsid w:val="00151075"/>
    <w:rsid w:val="00152747"/>
    <w:rsid w:val="00153A1D"/>
    <w:rsid w:val="001566FF"/>
    <w:rsid w:val="001570A4"/>
    <w:rsid w:val="00157282"/>
    <w:rsid w:val="00160966"/>
    <w:rsid w:val="0016161B"/>
    <w:rsid w:val="00161994"/>
    <w:rsid w:val="00162CC3"/>
    <w:rsid w:val="00163900"/>
    <w:rsid w:val="00163A3C"/>
    <w:rsid w:val="00164F24"/>
    <w:rsid w:val="00165274"/>
    <w:rsid w:val="001657F1"/>
    <w:rsid w:val="001659DF"/>
    <w:rsid w:val="00166280"/>
    <w:rsid w:val="00167620"/>
    <w:rsid w:val="00167B1A"/>
    <w:rsid w:val="00171126"/>
    <w:rsid w:val="001711A8"/>
    <w:rsid w:val="001753CB"/>
    <w:rsid w:val="00176332"/>
    <w:rsid w:val="0017695D"/>
    <w:rsid w:val="0017702B"/>
    <w:rsid w:val="001819A9"/>
    <w:rsid w:val="00181EB0"/>
    <w:rsid w:val="00184668"/>
    <w:rsid w:val="00184BCB"/>
    <w:rsid w:val="0018621B"/>
    <w:rsid w:val="0018742F"/>
    <w:rsid w:val="00190B35"/>
    <w:rsid w:val="00192847"/>
    <w:rsid w:val="001929E2"/>
    <w:rsid w:val="001963F6"/>
    <w:rsid w:val="00196B9D"/>
    <w:rsid w:val="00196C7A"/>
    <w:rsid w:val="00197314"/>
    <w:rsid w:val="001978F7"/>
    <w:rsid w:val="00197EF5"/>
    <w:rsid w:val="001A0008"/>
    <w:rsid w:val="001A02AC"/>
    <w:rsid w:val="001A36ED"/>
    <w:rsid w:val="001A4885"/>
    <w:rsid w:val="001A5077"/>
    <w:rsid w:val="001A52AD"/>
    <w:rsid w:val="001A56AC"/>
    <w:rsid w:val="001A5E75"/>
    <w:rsid w:val="001A5F73"/>
    <w:rsid w:val="001A6E2F"/>
    <w:rsid w:val="001A72F8"/>
    <w:rsid w:val="001A73D2"/>
    <w:rsid w:val="001B3026"/>
    <w:rsid w:val="001B36BF"/>
    <w:rsid w:val="001B3AE5"/>
    <w:rsid w:val="001B3EA1"/>
    <w:rsid w:val="001B5336"/>
    <w:rsid w:val="001B5606"/>
    <w:rsid w:val="001B5A49"/>
    <w:rsid w:val="001B6824"/>
    <w:rsid w:val="001B698A"/>
    <w:rsid w:val="001B7017"/>
    <w:rsid w:val="001B7E67"/>
    <w:rsid w:val="001C1109"/>
    <w:rsid w:val="001C16E0"/>
    <w:rsid w:val="001C2467"/>
    <w:rsid w:val="001C37A9"/>
    <w:rsid w:val="001C485B"/>
    <w:rsid w:val="001C4DB3"/>
    <w:rsid w:val="001C4E85"/>
    <w:rsid w:val="001C5054"/>
    <w:rsid w:val="001C6E4E"/>
    <w:rsid w:val="001C7D62"/>
    <w:rsid w:val="001C7E6E"/>
    <w:rsid w:val="001C7F27"/>
    <w:rsid w:val="001D04DE"/>
    <w:rsid w:val="001D14B6"/>
    <w:rsid w:val="001D15D8"/>
    <w:rsid w:val="001D3F5E"/>
    <w:rsid w:val="001D6D5A"/>
    <w:rsid w:val="001D70C1"/>
    <w:rsid w:val="001D77C4"/>
    <w:rsid w:val="001E0B4B"/>
    <w:rsid w:val="001E0F1F"/>
    <w:rsid w:val="001E205D"/>
    <w:rsid w:val="001E245C"/>
    <w:rsid w:val="001E2C16"/>
    <w:rsid w:val="001E2D9F"/>
    <w:rsid w:val="001E2FD0"/>
    <w:rsid w:val="001E336D"/>
    <w:rsid w:val="001E3C02"/>
    <w:rsid w:val="001E44FC"/>
    <w:rsid w:val="001E57C9"/>
    <w:rsid w:val="001F02F2"/>
    <w:rsid w:val="001F0C41"/>
    <w:rsid w:val="001F15BC"/>
    <w:rsid w:val="001F1A18"/>
    <w:rsid w:val="001F2C4C"/>
    <w:rsid w:val="001F359D"/>
    <w:rsid w:val="001F3AD1"/>
    <w:rsid w:val="001F491A"/>
    <w:rsid w:val="001F4C21"/>
    <w:rsid w:val="001F5168"/>
    <w:rsid w:val="001F5DC6"/>
    <w:rsid w:val="001F6824"/>
    <w:rsid w:val="001F6976"/>
    <w:rsid w:val="001F6FF7"/>
    <w:rsid w:val="001F7229"/>
    <w:rsid w:val="002001F9"/>
    <w:rsid w:val="0020084F"/>
    <w:rsid w:val="002017CE"/>
    <w:rsid w:val="00202263"/>
    <w:rsid w:val="00203663"/>
    <w:rsid w:val="00203750"/>
    <w:rsid w:val="00203B2F"/>
    <w:rsid w:val="00204E49"/>
    <w:rsid w:val="0020518A"/>
    <w:rsid w:val="0020660F"/>
    <w:rsid w:val="00207C51"/>
    <w:rsid w:val="002107D2"/>
    <w:rsid w:val="00212755"/>
    <w:rsid w:val="00212D77"/>
    <w:rsid w:val="0021466D"/>
    <w:rsid w:val="00214E88"/>
    <w:rsid w:val="002152F9"/>
    <w:rsid w:val="002159E4"/>
    <w:rsid w:val="00216976"/>
    <w:rsid w:val="00216E5C"/>
    <w:rsid w:val="002171AD"/>
    <w:rsid w:val="00217730"/>
    <w:rsid w:val="002205D2"/>
    <w:rsid w:val="00221EEF"/>
    <w:rsid w:val="002222A1"/>
    <w:rsid w:val="00222FF5"/>
    <w:rsid w:val="002237DF"/>
    <w:rsid w:val="00223B81"/>
    <w:rsid w:val="00223D35"/>
    <w:rsid w:val="002253B1"/>
    <w:rsid w:val="00226081"/>
    <w:rsid w:val="002265D1"/>
    <w:rsid w:val="00226CF7"/>
    <w:rsid w:val="00227CA4"/>
    <w:rsid w:val="00231104"/>
    <w:rsid w:val="0023175E"/>
    <w:rsid w:val="002336F3"/>
    <w:rsid w:val="00234D27"/>
    <w:rsid w:val="00234ED6"/>
    <w:rsid w:val="00235540"/>
    <w:rsid w:val="00235E69"/>
    <w:rsid w:val="0023684D"/>
    <w:rsid w:val="00237066"/>
    <w:rsid w:val="00237D60"/>
    <w:rsid w:val="00240180"/>
    <w:rsid w:val="00241C94"/>
    <w:rsid w:val="00242C2C"/>
    <w:rsid w:val="00242EF2"/>
    <w:rsid w:val="0024324F"/>
    <w:rsid w:val="0024666B"/>
    <w:rsid w:val="00246BA9"/>
    <w:rsid w:val="00250501"/>
    <w:rsid w:val="00250F6D"/>
    <w:rsid w:val="002513E2"/>
    <w:rsid w:val="002524FB"/>
    <w:rsid w:val="002543B9"/>
    <w:rsid w:val="00254BC6"/>
    <w:rsid w:val="00255603"/>
    <w:rsid w:val="002565F8"/>
    <w:rsid w:val="00256858"/>
    <w:rsid w:val="00262D5F"/>
    <w:rsid w:val="00262F0B"/>
    <w:rsid w:val="00263709"/>
    <w:rsid w:val="002665D1"/>
    <w:rsid w:val="002676E1"/>
    <w:rsid w:val="00267A7D"/>
    <w:rsid w:val="00270BE7"/>
    <w:rsid w:val="002717EB"/>
    <w:rsid w:val="00271842"/>
    <w:rsid w:val="002731D5"/>
    <w:rsid w:val="002736FA"/>
    <w:rsid w:val="00275960"/>
    <w:rsid w:val="00275DAB"/>
    <w:rsid w:val="00280B04"/>
    <w:rsid w:val="00280CD3"/>
    <w:rsid w:val="00281A37"/>
    <w:rsid w:val="0028344C"/>
    <w:rsid w:val="0028368D"/>
    <w:rsid w:val="0028477F"/>
    <w:rsid w:val="002851BB"/>
    <w:rsid w:val="0028587C"/>
    <w:rsid w:val="00286935"/>
    <w:rsid w:val="00286D06"/>
    <w:rsid w:val="00287168"/>
    <w:rsid w:val="0028745F"/>
    <w:rsid w:val="0029102C"/>
    <w:rsid w:val="00293515"/>
    <w:rsid w:val="00294E36"/>
    <w:rsid w:val="0029549F"/>
    <w:rsid w:val="00295AA8"/>
    <w:rsid w:val="00297126"/>
    <w:rsid w:val="002978E5"/>
    <w:rsid w:val="0029798F"/>
    <w:rsid w:val="002A0377"/>
    <w:rsid w:val="002A1DF1"/>
    <w:rsid w:val="002A32A6"/>
    <w:rsid w:val="002A34A4"/>
    <w:rsid w:val="002A4888"/>
    <w:rsid w:val="002A51B2"/>
    <w:rsid w:val="002A531E"/>
    <w:rsid w:val="002A6AFA"/>
    <w:rsid w:val="002B0023"/>
    <w:rsid w:val="002B0434"/>
    <w:rsid w:val="002B17E6"/>
    <w:rsid w:val="002B1ACD"/>
    <w:rsid w:val="002B5AE9"/>
    <w:rsid w:val="002B68AE"/>
    <w:rsid w:val="002C058B"/>
    <w:rsid w:val="002C0752"/>
    <w:rsid w:val="002C111F"/>
    <w:rsid w:val="002C130A"/>
    <w:rsid w:val="002C21A1"/>
    <w:rsid w:val="002C2F8C"/>
    <w:rsid w:val="002C448F"/>
    <w:rsid w:val="002C6579"/>
    <w:rsid w:val="002C7886"/>
    <w:rsid w:val="002D0C14"/>
    <w:rsid w:val="002D22BD"/>
    <w:rsid w:val="002D3B25"/>
    <w:rsid w:val="002D400E"/>
    <w:rsid w:val="002D4139"/>
    <w:rsid w:val="002D5A42"/>
    <w:rsid w:val="002D6545"/>
    <w:rsid w:val="002D6A32"/>
    <w:rsid w:val="002D76DC"/>
    <w:rsid w:val="002E0372"/>
    <w:rsid w:val="002E067E"/>
    <w:rsid w:val="002E0EC4"/>
    <w:rsid w:val="002E1253"/>
    <w:rsid w:val="002E2A34"/>
    <w:rsid w:val="002E368D"/>
    <w:rsid w:val="002E4865"/>
    <w:rsid w:val="002E592E"/>
    <w:rsid w:val="002E7936"/>
    <w:rsid w:val="002F0361"/>
    <w:rsid w:val="002F03C5"/>
    <w:rsid w:val="002F057F"/>
    <w:rsid w:val="002F15D2"/>
    <w:rsid w:val="002F168A"/>
    <w:rsid w:val="002F2276"/>
    <w:rsid w:val="002F2827"/>
    <w:rsid w:val="002F4EB2"/>
    <w:rsid w:val="002F519B"/>
    <w:rsid w:val="002F5738"/>
    <w:rsid w:val="002F5EDB"/>
    <w:rsid w:val="002F61C9"/>
    <w:rsid w:val="002F63FB"/>
    <w:rsid w:val="003005B3"/>
    <w:rsid w:val="00300A43"/>
    <w:rsid w:val="00301168"/>
    <w:rsid w:val="003020A5"/>
    <w:rsid w:val="0030383D"/>
    <w:rsid w:val="00303BDC"/>
    <w:rsid w:val="00303C13"/>
    <w:rsid w:val="0030432C"/>
    <w:rsid w:val="0030437E"/>
    <w:rsid w:val="003046FA"/>
    <w:rsid w:val="00306FA7"/>
    <w:rsid w:val="00310E13"/>
    <w:rsid w:val="00312DA0"/>
    <w:rsid w:val="00313AF9"/>
    <w:rsid w:val="003141E4"/>
    <w:rsid w:val="003155BA"/>
    <w:rsid w:val="003160A4"/>
    <w:rsid w:val="00316BFF"/>
    <w:rsid w:val="00317B96"/>
    <w:rsid w:val="0032129B"/>
    <w:rsid w:val="00321FCE"/>
    <w:rsid w:val="0032406A"/>
    <w:rsid w:val="00327645"/>
    <w:rsid w:val="00327D52"/>
    <w:rsid w:val="00330024"/>
    <w:rsid w:val="003302EB"/>
    <w:rsid w:val="00330BDF"/>
    <w:rsid w:val="003314D9"/>
    <w:rsid w:val="00331C13"/>
    <w:rsid w:val="003338B8"/>
    <w:rsid w:val="00334184"/>
    <w:rsid w:val="003350A4"/>
    <w:rsid w:val="003358C2"/>
    <w:rsid w:val="003371D9"/>
    <w:rsid w:val="003402ED"/>
    <w:rsid w:val="00340578"/>
    <w:rsid w:val="00340719"/>
    <w:rsid w:val="00342F49"/>
    <w:rsid w:val="0034396E"/>
    <w:rsid w:val="0034401A"/>
    <w:rsid w:val="00344700"/>
    <w:rsid w:val="00344C89"/>
    <w:rsid w:val="00345599"/>
    <w:rsid w:val="00345981"/>
    <w:rsid w:val="0034665C"/>
    <w:rsid w:val="00351348"/>
    <w:rsid w:val="00351486"/>
    <w:rsid w:val="00351B53"/>
    <w:rsid w:val="00352CBF"/>
    <w:rsid w:val="00354C9E"/>
    <w:rsid w:val="00361ED8"/>
    <w:rsid w:val="00362908"/>
    <w:rsid w:val="00362F79"/>
    <w:rsid w:val="00363A8A"/>
    <w:rsid w:val="00363B97"/>
    <w:rsid w:val="00363E0B"/>
    <w:rsid w:val="003645B3"/>
    <w:rsid w:val="00364881"/>
    <w:rsid w:val="00366545"/>
    <w:rsid w:val="00366E3A"/>
    <w:rsid w:val="003704DE"/>
    <w:rsid w:val="00370B52"/>
    <w:rsid w:val="003724DB"/>
    <w:rsid w:val="003734D9"/>
    <w:rsid w:val="003742A8"/>
    <w:rsid w:val="003751C5"/>
    <w:rsid w:val="00376737"/>
    <w:rsid w:val="0037684C"/>
    <w:rsid w:val="00377364"/>
    <w:rsid w:val="0037788A"/>
    <w:rsid w:val="00380568"/>
    <w:rsid w:val="00382D84"/>
    <w:rsid w:val="00383CD9"/>
    <w:rsid w:val="00383DB5"/>
    <w:rsid w:val="00384166"/>
    <w:rsid w:val="00384A42"/>
    <w:rsid w:val="00385878"/>
    <w:rsid w:val="003859AB"/>
    <w:rsid w:val="00385DE9"/>
    <w:rsid w:val="0038735B"/>
    <w:rsid w:val="003879BC"/>
    <w:rsid w:val="00390B5F"/>
    <w:rsid w:val="003929BC"/>
    <w:rsid w:val="00392EB8"/>
    <w:rsid w:val="00394A48"/>
    <w:rsid w:val="0039609F"/>
    <w:rsid w:val="00396507"/>
    <w:rsid w:val="003A0CF7"/>
    <w:rsid w:val="003A3ACB"/>
    <w:rsid w:val="003A3CEC"/>
    <w:rsid w:val="003A4282"/>
    <w:rsid w:val="003A4F52"/>
    <w:rsid w:val="003A55DF"/>
    <w:rsid w:val="003A69BD"/>
    <w:rsid w:val="003A6AA8"/>
    <w:rsid w:val="003B05EB"/>
    <w:rsid w:val="003B0829"/>
    <w:rsid w:val="003B17F6"/>
    <w:rsid w:val="003B1DD3"/>
    <w:rsid w:val="003B303C"/>
    <w:rsid w:val="003B412F"/>
    <w:rsid w:val="003B52C5"/>
    <w:rsid w:val="003B6E1A"/>
    <w:rsid w:val="003C01D8"/>
    <w:rsid w:val="003C19D2"/>
    <w:rsid w:val="003C2D2C"/>
    <w:rsid w:val="003C2F3C"/>
    <w:rsid w:val="003C35D5"/>
    <w:rsid w:val="003C3BBE"/>
    <w:rsid w:val="003C534C"/>
    <w:rsid w:val="003C7323"/>
    <w:rsid w:val="003C7328"/>
    <w:rsid w:val="003C7C6E"/>
    <w:rsid w:val="003D0BCE"/>
    <w:rsid w:val="003D1013"/>
    <w:rsid w:val="003D1211"/>
    <w:rsid w:val="003D149B"/>
    <w:rsid w:val="003D58A8"/>
    <w:rsid w:val="003D59BF"/>
    <w:rsid w:val="003D7128"/>
    <w:rsid w:val="003D76BE"/>
    <w:rsid w:val="003D7C62"/>
    <w:rsid w:val="003E0563"/>
    <w:rsid w:val="003E18C1"/>
    <w:rsid w:val="003E2CFF"/>
    <w:rsid w:val="003E3449"/>
    <w:rsid w:val="003E3E22"/>
    <w:rsid w:val="003E4336"/>
    <w:rsid w:val="003E608A"/>
    <w:rsid w:val="003E6904"/>
    <w:rsid w:val="003E7095"/>
    <w:rsid w:val="003F1448"/>
    <w:rsid w:val="003F2A61"/>
    <w:rsid w:val="003F2DBD"/>
    <w:rsid w:val="003F3970"/>
    <w:rsid w:val="003F3CDC"/>
    <w:rsid w:val="003F555E"/>
    <w:rsid w:val="003F5E3D"/>
    <w:rsid w:val="003F6031"/>
    <w:rsid w:val="004015BD"/>
    <w:rsid w:val="00401A47"/>
    <w:rsid w:val="00402939"/>
    <w:rsid w:val="00402DFC"/>
    <w:rsid w:val="004032A0"/>
    <w:rsid w:val="00403C6B"/>
    <w:rsid w:val="004046F6"/>
    <w:rsid w:val="00405214"/>
    <w:rsid w:val="0040542B"/>
    <w:rsid w:val="00410CD4"/>
    <w:rsid w:val="0041104C"/>
    <w:rsid w:val="00411693"/>
    <w:rsid w:val="00413620"/>
    <w:rsid w:val="00414E55"/>
    <w:rsid w:val="00415075"/>
    <w:rsid w:val="00415132"/>
    <w:rsid w:val="004168CD"/>
    <w:rsid w:val="00417A97"/>
    <w:rsid w:val="004202E8"/>
    <w:rsid w:val="004206F1"/>
    <w:rsid w:val="00420CDF"/>
    <w:rsid w:val="004211CD"/>
    <w:rsid w:val="0042194B"/>
    <w:rsid w:val="0042361A"/>
    <w:rsid w:val="00425A65"/>
    <w:rsid w:val="004301BA"/>
    <w:rsid w:val="004305F0"/>
    <w:rsid w:val="0043139F"/>
    <w:rsid w:val="004316EE"/>
    <w:rsid w:val="00431C12"/>
    <w:rsid w:val="00432DB8"/>
    <w:rsid w:val="004331C1"/>
    <w:rsid w:val="0043574B"/>
    <w:rsid w:val="00435807"/>
    <w:rsid w:val="00435F78"/>
    <w:rsid w:val="00436345"/>
    <w:rsid w:val="00437605"/>
    <w:rsid w:val="004377B2"/>
    <w:rsid w:val="00440161"/>
    <w:rsid w:val="004408FA"/>
    <w:rsid w:val="004426E1"/>
    <w:rsid w:val="004430D0"/>
    <w:rsid w:val="00444310"/>
    <w:rsid w:val="00444B25"/>
    <w:rsid w:val="00444F55"/>
    <w:rsid w:val="0044520D"/>
    <w:rsid w:val="0044553E"/>
    <w:rsid w:val="0044643E"/>
    <w:rsid w:val="00446D08"/>
    <w:rsid w:val="0044712C"/>
    <w:rsid w:val="00447325"/>
    <w:rsid w:val="004509FD"/>
    <w:rsid w:val="004535E3"/>
    <w:rsid w:val="004538AD"/>
    <w:rsid w:val="00454C77"/>
    <w:rsid w:val="00456DE0"/>
    <w:rsid w:val="00457418"/>
    <w:rsid w:val="004602CC"/>
    <w:rsid w:val="004603BA"/>
    <w:rsid w:val="004624B7"/>
    <w:rsid w:val="00462971"/>
    <w:rsid w:val="0046355E"/>
    <w:rsid w:val="00463959"/>
    <w:rsid w:val="004648EA"/>
    <w:rsid w:val="00464B8F"/>
    <w:rsid w:val="00464DB8"/>
    <w:rsid w:val="00464F67"/>
    <w:rsid w:val="004652F7"/>
    <w:rsid w:val="00466C07"/>
    <w:rsid w:val="004670D4"/>
    <w:rsid w:val="0047135C"/>
    <w:rsid w:val="004714CD"/>
    <w:rsid w:val="004716A4"/>
    <w:rsid w:val="004718AB"/>
    <w:rsid w:val="004723C1"/>
    <w:rsid w:val="004744B9"/>
    <w:rsid w:val="004753F2"/>
    <w:rsid w:val="00475488"/>
    <w:rsid w:val="00475F1D"/>
    <w:rsid w:val="00476516"/>
    <w:rsid w:val="0047782F"/>
    <w:rsid w:val="004801FF"/>
    <w:rsid w:val="00480911"/>
    <w:rsid w:val="004821A9"/>
    <w:rsid w:val="00483ED6"/>
    <w:rsid w:val="00485CC6"/>
    <w:rsid w:val="00485EF1"/>
    <w:rsid w:val="00490F00"/>
    <w:rsid w:val="0049104D"/>
    <w:rsid w:val="0049152C"/>
    <w:rsid w:val="0049496E"/>
    <w:rsid w:val="00494FE3"/>
    <w:rsid w:val="00496119"/>
    <w:rsid w:val="00496394"/>
    <w:rsid w:val="0049667D"/>
    <w:rsid w:val="00497E3C"/>
    <w:rsid w:val="004A153A"/>
    <w:rsid w:val="004A17AD"/>
    <w:rsid w:val="004A2B93"/>
    <w:rsid w:val="004A3F4A"/>
    <w:rsid w:val="004A407E"/>
    <w:rsid w:val="004A46EB"/>
    <w:rsid w:val="004A474D"/>
    <w:rsid w:val="004A594B"/>
    <w:rsid w:val="004A6D86"/>
    <w:rsid w:val="004B2927"/>
    <w:rsid w:val="004B29B6"/>
    <w:rsid w:val="004B3C23"/>
    <w:rsid w:val="004B3C98"/>
    <w:rsid w:val="004B4D48"/>
    <w:rsid w:val="004B5BD2"/>
    <w:rsid w:val="004B7ADD"/>
    <w:rsid w:val="004C09E7"/>
    <w:rsid w:val="004C1E3B"/>
    <w:rsid w:val="004C2366"/>
    <w:rsid w:val="004C378F"/>
    <w:rsid w:val="004C4A76"/>
    <w:rsid w:val="004C5DA3"/>
    <w:rsid w:val="004C7E3A"/>
    <w:rsid w:val="004D04FF"/>
    <w:rsid w:val="004D09F1"/>
    <w:rsid w:val="004D126D"/>
    <w:rsid w:val="004D1DE8"/>
    <w:rsid w:val="004D1DF8"/>
    <w:rsid w:val="004D380E"/>
    <w:rsid w:val="004D3BDC"/>
    <w:rsid w:val="004D40F3"/>
    <w:rsid w:val="004D6940"/>
    <w:rsid w:val="004E06A5"/>
    <w:rsid w:val="004E127D"/>
    <w:rsid w:val="004E1474"/>
    <w:rsid w:val="004E2068"/>
    <w:rsid w:val="004E21CF"/>
    <w:rsid w:val="004E273E"/>
    <w:rsid w:val="004E452A"/>
    <w:rsid w:val="004E5EA6"/>
    <w:rsid w:val="004E5F7D"/>
    <w:rsid w:val="004E6953"/>
    <w:rsid w:val="004F1622"/>
    <w:rsid w:val="004F25BE"/>
    <w:rsid w:val="004F34E1"/>
    <w:rsid w:val="004F396E"/>
    <w:rsid w:val="004F3EFB"/>
    <w:rsid w:val="004F3FD0"/>
    <w:rsid w:val="004F4072"/>
    <w:rsid w:val="004F4E87"/>
    <w:rsid w:val="004F6372"/>
    <w:rsid w:val="004F69E3"/>
    <w:rsid w:val="005008E4"/>
    <w:rsid w:val="0050130B"/>
    <w:rsid w:val="00501811"/>
    <w:rsid w:val="00503818"/>
    <w:rsid w:val="00504186"/>
    <w:rsid w:val="00505AC1"/>
    <w:rsid w:val="00507B16"/>
    <w:rsid w:val="00507CE0"/>
    <w:rsid w:val="005115C9"/>
    <w:rsid w:val="005116AC"/>
    <w:rsid w:val="00511C9B"/>
    <w:rsid w:val="00515F9B"/>
    <w:rsid w:val="00516383"/>
    <w:rsid w:val="00516487"/>
    <w:rsid w:val="00517057"/>
    <w:rsid w:val="00517243"/>
    <w:rsid w:val="00517550"/>
    <w:rsid w:val="00520F73"/>
    <w:rsid w:val="00521014"/>
    <w:rsid w:val="0052108B"/>
    <w:rsid w:val="005211E8"/>
    <w:rsid w:val="00522149"/>
    <w:rsid w:val="00523559"/>
    <w:rsid w:val="00524D9A"/>
    <w:rsid w:val="005255C2"/>
    <w:rsid w:val="005259BC"/>
    <w:rsid w:val="0052632D"/>
    <w:rsid w:val="00526725"/>
    <w:rsid w:val="00530D38"/>
    <w:rsid w:val="005313A1"/>
    <w:rsid w:val="00534602"/>
    <w:rsid w:val="005347FF"/>
    <w:rsid w:val="00535121"/>
    <w:rsid w:val="00535974"/>
    <w:rsid w:val="00536F77"/>
    <w:rsid w:val="00537674"/>
    <w:rsid w:val="0053792C"/>
    <w:rsid w:val="00541C5A"/>
    <w:rsid w:val="00541ED6"/>
    <w:rsid w:val="00543227"/>
    <w:rsid w:val="005439DC"/>
    <w:rsid w:val="005443D8"/>
    <w:rsid w:val="00544634"/>
    <w:rsid w:val="00544692"/>
    <w:rsid w:val="00544808"/>
    <w:rsid w:val="00544A42"/>
    <w:rsid w:val="00547A60"/>
    <w:rsid w:val="00547D05"/>
    <w:rsid w:val="00547EE2"/>
    <w:rsid w:val="005517E3"/>
    <w:rsid w:val="00552EF6"/>
    <w:rsid w:val="0055372A"/>
    <w:rsid w:val="00555017"/>
    <w:rsid w:val="00555E4A"/>
    <w:rsid w:val="00556676"/>
    <w:rsid w:val="00557FB7"/>
    <w:rsid w:val="00561741"/>
    <w:rsid w:val="005625C7"/>
    <w:rsid w:val="005650DB"/>
    <w:rsid w:val="005662EC"/>
    <w:rsid w:val="005668C0"/>
    <w:rsid w:val="00567A6D"/>
    <w:rsid w:val="00567ADD"/>
    <w:rsid w:val="00570310"/>
    <w:rsid w:val="005705C9"/>
    <w:rsid w:val="00570726"/>
    <w:rsid w:val="00570A44"/>
    <w:rsid w:val="00572D3D"/>
    <w:rsid w:val="00574602"/>
    <w:rsid w:val="00574DAF"/>
    <w:rsid w:val="005753DD"/>
    <w:rsid w:val="00577D9A"/>
    <w:rsid w:val="00577DA0"/>
    <w:rsid w:val="00577F7E"/>
    <w:rsid w:val="0058052F"/>
    <w:rsid w:val="00582719"/>
    <w:rsid w:val="00582CA2"/>
    <w:rsid w:val="00584755"/>
    <w:rsid w:val="005851CC"/>
    <w:rsid w:val="0058690D"/>
    <w:rsid w:val="0058698B"/>
    <w:rsid w:val="00586F4B"/>
    <w:rsid w:val="0058700B"/>
    <w:rsid w:val="00587369"/>
    <w:rsid w:val="005918A7"/>
    <w:rsid w:val="00591C6C"/>
    <w:rsid w:val="005933E0"/>
    <w:rsid w:val="00595145"/>
    <w:rsid w:val="00595B0F"/>
    <w:rsid w:val="00596BB2"/>
    <w:rsid w:val="00596EA9"/>
    <w:rsid w:val="005973CB"/>
    <w:rsid w:val="00597549"/>
    <w:rsid w:val="00597A92"/>
    <w:rsid w:val="005A14EB"/>
    <w:rsid w:val="005A17FE"/>
    <w:rsid w:val="005A2258"/>
    <w:rsid w:val="005A3104"/>
    <w:rsid w:val="005A3817"/>
    <w:rsid w:val="005A4365"/>
    <w:rsid w:val="005A4736"/>
    <w:rsid w:val="005A6982"/>
    <w:rsid w:val="005A6D26"/>
    <w:rsid w:val="005B1006"/>
    <w:rsid w:val="005B3A36"/>
    <w:rsid w:val="005B3FC6"/>
    <w:rsid w:val="005B571D"/>
    <w:rsid w:val="005B6172"/>
    <w:rsid w:val="005C038C"/>
    <w:rsid w:val="005C0BE5"/>
    <w:rsid w:val="005C16D0"/>
    <w:rsid w:val="005C2B11"/>
    <w:rsid w:val="005C30DA"/>
    <w:rsid w:val="005C4590"/>
    <w:rsid w:val="005C4770"/>
    <w:rsid w:val="005C4BC8"/>
    <w:rsid w:val="005C570A"/>
    <w:rsid w:val="005C63AA"/>
    <w:rsid w:val="005C6939"/>
    <w:rsid w:val="005D1F82"/>
    <w:rsid w:val="005D3A2B"/>
    <w:rsid w:val="005D4A1B"/>
    <w:rsid w:val="005D4B0E"/>
    <w:rsid w:val="005D5321"/>
    <w:rsid w:val="005D545B"/>
    <w:rsid w:val="005E36B4"/>
    <w:rsid w:val="005E3B7C"/>
    <w:rsid w:val="005E7129"/>
    <w:rsid w:val="005E7C1C"/>
    <w:rsid w:val="005F182B"/>
    <w:rsid w:val="005F28B1"/>
    <w:rsid w:val="005F2B40"/>
    <w:rsid w:val="005F3434"/>
    <w:rsid w:val="005F3A22"/>
    <w:rsid w:val="005F4F69"/>
    <w:rsid w:val="005F5D17"/>
    <w:rsid w:val="005F6580"/>
    <w:rsid w:val="005F6FB1"/>
    <w:rsid w:val="005F74CF"/>
    <w:rsid w:val="005F77D9"/>
    <w:rsid w:val="005F794F"/>
    <w:rsid w:val="00600389"/>
    <w:rsid w:val="00603AF9"/>
    <w:rsid w:val="006042F2"/>
    <w:rsid w:val="006044A3"/>
    <w:rsid w:val="00604AAC"/>
    <w:rsid w:val="00605788"/>
    <w:rsid w:val="00605E44"/>
    <w:rsid w:val="00606E6F"/>
    <w:rsid w:val="00607D65"/>
    <w:rsid w:val="00607EE6"/>
    <w:rsid w:val="00607F84"/>
    <w:rsid w:val="00610B2B"/>
    <w:rsid w:val="00610BCB"/>
    <w:rsid w:val="00614D23"/>
    <w:rsid w:val="00615968"/>
    <w:rsid w:val="00615C63"/>
    <w:rsid w:val="00616DE1"/>
    <w:rsid w:val="00617E3A"/>
    <w:rsid w:val="00620D67"/>
    <w:rsid w:val="006276F7"/>
    <w:rsid w:val="00632173"/>
    <w:rsid w:val="006325FC"/>
    <w:rsid w:val="0063268F"/>
    <w:rsid w:val="0063293E"/>
    <w:rsid w:val="006342A7"/>
    <w:rsid w:val="0063572D"/>
    <w:rsid w:val="006403B8"/>
    <w:rsid w:val="00641CCA"/>
    <w:rsid w:val="006437C7"/>
    <w:rsid w:val="00643887"/>
    <w:rsid w:val="00643B0C"/>
    <w:rsid w:val="00643D66"/>
    <w:rsid w:val="006449B0"/>
    <w:rsid w:val="006464C4"/>
    <w:rsid w:val="006467BB"/>
    <w:rsid w:val="00646ACE"/>
    <w:rsid w:val="00647D30"/>
    <w:rsid w:val="006507ED"/>
    <w:rsid w:val="006539AE"/>
    <w:rsid w:val="006550AD"/>
    <w:rsid w:val="00655151"/>
    <w:rsid w:val="00655561"/>
    <w:rsid w:val="0065597A"/>
    <w:rsid w:val="006574E7"/>
    <w:rsid w:val="00657A09"/>
    <w:rsid w:val="0066093D"/>
    <w:rsid w:val="00662B8A"/>
    <w:rsid w:val="006650C2"/>
    <w:rsid w:val="006657A8"/>
    <w:rsid w:val="006660F9"/>
    <w:rsid w:val="00670311"/>
    <w:rsid w:val="00670C8C"/>
    <w:rsid w:val="00670D7F"/>
    <w:rsid w:val="00671F2A"/>
    <w:rsid w:val="0067524D"/>
    <w:rsid w:val="00675D2E"/>
    <w:rsid w:val="00680A6E"/>
    <w:rsid w:val="00680DFF"/>
    <w:rsid w:val="0068121B"/>
    <w:rsid w:val="006820FB"/>
    <w:rsid w:val="00682168"/>
    <w:rsid w:val="0068275C"/>
    <w:rsid w:val="00682E97"/>
    <w:rsid w:val="00683FE2"/>
    <w:rsid w:val="00684C4C"/>
    <w:rsid w:val="006861DE"/>
    <w:rsid w:val="006862CC"/>
    <w:rsid w:val="00686C9D"/>
    <w:rsid w:val="006871A9"/>
    <w:rsid w:val="006873DF"/>
    <w:rsid w:val="006876F8"/>
    <w:rsid w:val="0069051E"/>
    <w:rsid w:val="006908E1"/>
    <w:rsid w:val="00690A33"/>
    <w:rsid w:val="00692383"/>
    <w:rsid w:val="00692A11"/>
    <w:rsid w:val="006931C1"/>
    <w:rsid w:val="006938E0"/>
    <w:rsid w:val="00693F5C"/>
    <w:rsid w:val="006940D0"/>
    <w:rsid w:val="006952EC"/>
    <w:rsid w:val="006953B6"/>
    <w:rsid w:val="00697029"/>
    <w:rsid w:val="00697381"/>
    <w:rsid w:val="006974CA"/>
    <w:rsid w:val="0069786D"/>
    <w:rsid w:val="00697CA9"/>
    <w:rsid w:val="006A28BC"/>
    <w:rsid w:val="006A2D57"/>
    <w:rsid w:val="006A3101"/>
    <w:rsid w:val="006A4729"/>
    <w:rsid w:val="006A4DE5"/>
    <w:rsid w:val="006A577D"/>
    <w:rsid w:val="006A6EFC"/>
    <w:rsid w:val="006A7420"/>
    <w:rsid w:val="006B0F65"/>
    <w:rsid w:val="006B10AA"/>
    <w:rsid w:val="006B12CE"/>
    <w:rsid w:val="006B295A"/>
    <w:rsid w:val="006B3813"/>
    <w:rsid w:val="006B3AB7"/>
    <w:rsid w:val="006B3C11"/>
    <w:rsid w:val="006B3CDE"/>
    <w:rsid w:val="006B41A1"/>
    <w:rsid w:val="006B51D1"/>
    <w:rsid w:val="006B62FA"/>
    <w:rsid w:val="006B72B0"/>
    <w:rsid w:val="006C0A46"/>
    <w:rsid w:val="006C458A"/>
    <w:rsid w:val="006C497C"/>
    <w:rsid w:val="006C56C0"/>
    <w:rsid w:val="006D10A2"/>
    <w:rsid w:val="006D2C21"/>
    <w:rsid w:val="006D31F7"/>
    <w:rsid w:val="006D34C6"/>
    <w:rsid w:val="006D39EC"/>
    <w:rsid w:val="006D402E"/>
    <w:rsid w:val="006D468B"/>
    <w:rsid w:val="006D4CCF"/>
    <w:rsid w:val="006D7849"/>
    <w:rsid w:val="006E0721"/>
    <w:rsid w:val="006E13C8"/>
    <w:rsid w:val="006E2417"/>
    <w:rsid w:val="006E2DE1"/>
    <w:rsid w:val="006E349C"/>
    <w:rsid w:val="006E3580"/>
    <w:rsid w:val="006E384E"/>
    <w:rsid w:val="006E46A5"/>
    <w:rsid w:val="006E53C4"/>
    <w:rsid w:val="006E563C"/>
    <w:rsid w:val="006E70C2"/>
    <w:rsid w:val="006E74ED"/>
    <w:rsid w:val="006E75F9"/>
    <w:rsid w:val="006F2241"/>
    <w:rsid w:val="006F373A"/>
    <w:rsid w:val="006F4C3E"/>
    <w:rsid w:val="006F4DF7"/>
    <w:rsid w:val="006F5165"/>
    <w:rsid w:val="006F57E6"/>
    <w:rsid w:val="006F5A2B"/>
    <w:rsid w:val="0070045D"/>
    <w:rsid w:val="00701378"/>
    <w:rsid w:val="0070237A"/>
    <w:rsid w:val="007027D6"/>
    <w:rsid w:val="00703BBB"/>
    <w:rsid w:val="00703D80"/>
    <w:rsid w:val="00704186"/>
    <w:rsid w:val="00704AF2"/>
    <w:rsid w:val="00704E7B"/>
    <w:rsid w:val="00705585"/>
    <w:rsid w:val="00706371"/>
    <w:rsid w:val="0070754E"/>
    <w:rsid w:val="00707EB9"/>
    <w:rsid w:val="0071096E"/>
    <w:rsid w:val="0071291A"/>
    <w:rsid w:val="00712F62"/>
    <w:rsid w:val="00713C2E"/>
    <w:rsid w:val="00713E78"/>
    <w:rsid w:val="00714458"/>
    <w:rsid w:val="00714B32"/>
    <w:rsid w:val="00716E04"/>
    <w:rsid w:val="00717064"/>
    <w:rsid w:val="00720EA6"/>
    <w:rsid w:val="00722D55"/>
    <w:rsid w:val="0072488E"/>
    <w:rsid w:val="00724920"/>
    <w:rsid w:val="007258E2"/>
    <w:rsid w:val="0072770B"/>
    <w:rsid w:val="007301D4"/>
    <w:rsid w:val="0073054C"/>
    <w:rsid w:val="00731956"/>
    <w:rsid w:val="00732420"/>
    <w:rsid w:val="00733FE4"/>
    <w:rsid w:val="00734A99"/>
    <w:rsid w:val="00735319"/>
    <w:rsid w:val="00737105"/>
    <w:rsid w:val="007409D4"/>
    <w:rsid w:val="00741590"/>
    <w:rsid w:val="00741C52"/>
    <w:rsid w:val="00742699"/>
    <w:rsid w:val="0074276A"/>
    <w:rsid w:val="007429FB"/>
    <w:rsid w:val="00743A95"/>
    <w:rsid w:val="007452CA"/>
    <w:rsid w:val="007452F3"/>
    <w:rsid w:val="00745F98"/>
    <w:rsid w:val="00746261"/>
    <w:rsid w:val="00746860"/>
    <w:rsid w:val="00746B19"/>
    <w:rsid w:val="00746F2F"/>
    <w:rsid w:val="00747023"/>
    <w:rsid w:val="007476F4"/>
    <w:rsid w:val="007518B2"/>
    <w:rsid w:val="00753CC0"/>
    <w:rsid w:val="00755A25"/>
    <w:rsid w:val="00756480"/>
    <w:rsid w:val="0075660A"/>
    <w:rsid w:val="00757D62"/>
    <w:rsid w:val="00760923"/>
    <w:rsid w:val="0076253B"/>
    <w:rsid w:val="00762804"/>
    <w:rsid w:val="007633A1"/>
    <w:rsid w:val="00763451"/>
    <w:rsid w:val="00763634"/>
    <w:rsid w:val="00763AF3"/>
    <w:rsid w:val="007641D6"/>
    <w:rsid w:val="00766099"/>
    <w:rsid w:val="007672BC"/>
    <w:rsid w:val="00770573"/>
    <w:rsid w:val="0077189B"/>
    <w:rsid w:val="00774E0B"/>
    <w:rsid w:val="00776932"/>
    <w:rsid w:val="00777AE5"/>
    <w:rsid w:val="0078151F"/>
    <w:rsid w:val="007821F3"/>
    <w:rsid w:val="007843E8"/>
    <w:rsid w:val="00784ADB"/>
    <w:rsid w:val="00784B0E"/>
    <w:rsid w:val="00786B16"/>
    <w:rsid w:val="007873FD"/>
    <w:rsid w:val="00790A75"/>
    <w:rsid w:val="00790B18"/>
    <w:rsid w:val="00790CED"/>
    <w:rsid w:val="00792364"/>
    <w:rsid w:val="007927AB"/>
    <w:rsid w:val="00792819"/>
    <w:rsid w:val="0079537C"/>
    <w:rsid w:val="00795ED2"/>
    <w:rsid w:val="00796274"/>
    <w:rsid w:val="007A1374"/>
    <w:rsid w:val="007A19B8"/>
    <w:rsid w:val="007A2126"/>
    <w:rsid w:val="007A2B2C"/>
    <w:rsid w:val="007A3E59"/>
    <w:rsid w:val="007A4609"/>
    <w:rsid w:val="007A5D17"/>
    <w:rsid w:val="007A6836"/>
    <w:rsid w:val="007A700C"/>
    <w:rsid w:val="007A721E"/>
    <w:rsid w:val="007A795D"/>
    <w:rsid w:val="007B1C37"/>
    <w:rsid w:val="007B242D"/>
    <w:rsid w:val="007B2B4D"/>
    <w:rsid w:val="007B3D45"/>
    <w:rsid w:val="007B3F0B"/>
    <w:rsid w:val="007B477A"/>
    <w:rsid w:val="007B53DD"/>
    <w:rsid w:val="007B66BA"/>
    <w:rsid w:val="007C0F78"/>
    <w:rsid w:val="007C1133"/>
    <w:rsid w:val="007C22A9"/>
    <w:rsid w:val="007C2344"/>
    <w:rsid w:val="007C2BA0"/>
    <w:rsid w:val="007C3104"/>
    <w:rsid w:val="007C393D"/>
    <w:rsid w:val="007C42D5"/>
    <w:rsid w:val="007C46C3"/>
    <w:rsid w:val="007C5D02"/>
    <w:rsid w:val="007C776C"/>
    <w:rsid w:val="007C7E93"/>
    <w:rsid w:val="007D0316"/>
    <w:rsid w:val="007D1AFB"/>
    <w:rsid w:val="007D1D95"/>
    <w:rsid w:val="007D3EAF"/>
    <w:rsid w:val="007D47B4"/>
    <w:rsid w:val="007D4B73"/>
    <w:rsid w:val="007D6537"/>
    <w:rsid w:val="007E0466"/>
    <w:rsid w:val="007E0613"/>
    <w:rsid w:val="007E065E"/>
    <w:rsid w:val="007E0CB3"/>
    <w:rsid w:val="007E113C"/>
    <w:rsid w:val="007E1ECC"/>
    <w:rsid w:val="007E5A5E"/>
    <w:rsid w:val="007E7572"/>
    <w:rsid w:val="007F12EE"/>
    <w:rsid w:val="007F1A3C"/>
    <w:rsid w:val="007F2238"/>
    <w:rsid w:val="007F3255"/>
    <w:rsid w:val="007F3EAC"/>
    <w:rsid w:val="007F41EF"/>
    <w:rsid w:val="007F566E"/>
    <w:rsid w:val="007F57BC"/>
    <w:rsid w:val="007F6C67"/>
    <w:rsid w:val="007F7A37"/>
    <w:rsid w:val="00800D60"/>
    <w:rsid w:val="00800E88"/>
    <w:rsid w:val="0080230E"/>
    <w:rsid w:val="008034C7"/>
    <w:rsid w:val="00803541"/>
    <w:rsid w:val="008049F3"/>
    <w:rsid w:val="00806BC0"/>
    <w:rsid w:val="00806DDD"/>
    <w:rsid w:val="00807463"/>
    <w:rsid w:val="00810FC3"/>
    <w:rsid w:val="00811290"/>
    <w:rsid w:val="008114A6"/>
    <w:rsid w:val="00811A9E"/>
    <w:rsid w:val="00811C79"/>
    <w:rsid w:val="00811E6D"/>
    <w:rsid w:val="0081208E"/>
    <w:rsid w:val="008122A8"/>
    <w:rsid w:val="008128CF"/>
    <w:rsid w:val="00812AFA"/>
    <w:rsid w:val="00812EED"/>
    <w:rsid w:val="00813A5D"/>
    <w:rsid w:val="00813F3E"/>
    <w:rsid w:val="008151ED"/>
    <w:rsid w:val="008163A1"/>
    <w:rsid w:val="00816AAD"/>
    <w:rsid w:val="0082118D"/>
    <w:rsid w:val="00822AB1"/>
    <w:rsid w:val="00823BBB"/>
    <w:rsid w:val="00824311"/>
    <w:rsid w:val="00824549"/>
    <w:rsid w:val="008249CB"/>
    <w:rsid w:val="00825756"/>
    <w:rsid w:val="00825D62"/>
    <w:rsid w:val="00825E54"/>
    <w:rsid w:val="008260A5"/>
    <w:rsid w:val="0082689E"/>
    <w:rsid w:val="00830865"/>
    <w:rsid w:val="00832055"/>
    <w:rsid w:val="00832C5D"/>
    <w:rsid w:val="0083418B"/>
    <w:rsid w:val="008350F9"/>
    <w:rsid w:val="0083541A"/>
    <w:rsid w:val="0083568C"/>
    <w:rsid w:val="00836F19"/>
    <w:rsid w:val="008372C3"/>
    <w:rsid w:val="008374FF"/>
    <w:rsid w:val="00840435"/>
    <w:rsid w:val="008419D4"/>
    <w:rsid w:val="008426F8"/>
    <w:rsid w:val="00843B98"/>
    <w:rsid w:val="00843BD8"/>
    <w:rsid w:val="00844123"/>
    <w:rsid w:val="00844D42"/>
    <w:rsid w:val="00844EB3"/>
    <w:rsid w:val="00844EE6"/>
    <w:rsid w:val="00845179"/>
    <w:rsid w:val="0084614C"/>
    <w:rsid w:val="00846A6C"/>
    <w:rsid w:val="008470E3"/>
    <w:rsid w:val="008503CA"/>
    <w:rsid w:val="00851D28"/>
    <w:rsid w:val="00852925"/>
    <w:rsid w:val="00852940"/>
    <w:rsid w:val="00852C6D"/>
    <w:rsid w:val="00853435"/>
    <w:rsid w:val="0085368C"/>
    <w:rsid w:val="00853ABC"/>
    <w:rsid w:val="008541FA"/>
    <w:rsid w:val="00854C72"/>
    <w:rsid w:val="0085540B"/>
    <w:rsid w:val="00855CD8"/>
    <w:rsid w:val="00855D71"/>
    <w:rsid w:val="008568B5"/>
    <w:rsid w:val="00856C1B"/>
    <w:rsid w:val="008573FE"/>
    <w:rsid w:val="00857C4B"/>
    <w:rsid w:val="00861DD2"/>
    <w:rsid w:val="00862000"/>
    <w:rsid w:val="0086278A"/>
    <w:rsid w:val="00863C54"/>
    <w:rsid w:val="00864B0D"/>
    <w:rsid w:val="00866CE8"/>
    <w:rsid w:val="00870881"/>
    <w:rsid w:val="00871455"/>
    <w:rsid w:val="00873F22"/>
    <w:rsid w:val="00875C0D"/>
    <w:rsid w:val="008761E7"/>
    <w:rsid w:val="00877214"/>
    <w:rsid w:val="00877432"/>
    <w:rsid w:val="00880E55"/>
    <w:rsid w:val="008821DE"/>
    <w:rsid w:val="008849D9"/>
    <w:rsid w:val="00884D19"/>
    <w:rsid w:val="00885132"/>
    <w:rsid w:val="00885395"/>
    <w:rsid w:val="0088697C"/>
    <w:rsid w:val="00887B02"/>
    <w:rsid w:val="008900D1"/>
    <w:rsid w:val="00891965"/>
    <w:rsid w:val="008933B8"/>
    <w:rsid w:val="00893D85"/>
    <w:rsid w:val="00894716"/>
    <w:rsid w:val="0089543E"/>
    <w:rsid w:val="008A00E1"/>
    <w:rsid w:val="008A3FA4"/>
    <w:rsid w:val="008A6548"/>
    <w:rsid w:val="008A695B"/>
    <w:rsid w:val="008A79CA"/>
    <w:rsid w:val="008B06A3"/>
    <w:rsid w:val="008B2F7A"/>
    <w:rsid w:val="008B3BF8"/>
    <w:rsid w:val="008B5285"/>
    <w:rsid w:val="008B5EAB"/>
    <w:rsid w:val="008B670F"/>
    <w:rsid w:val="008C0CB3"/>
    <w:rsid w:val="008C11F1"/>
    <w:rsid w:val="008C35FF"/>
    <w:rsid w:val="008C480A"/>
    <w:rsid w:val="008C54A0"/>
    <w:rsid w:val="008C5D79"/>
    <w:rsid w:val="008C6740"/>
    <w:rsid w:val="008C6FD8"/>
    <w:rsid w:val="008C75DC"/>
    <w:rsid w:val="008D0B60"/>
    <w:rsid w:val="008D215C"/>
    <w:rsid w:val="008D2D2F"/>
    <w:rsid w:val="008D333F"/>
    <w:rsid w:val="008D4039"/>
    <w:rsid w:val="008D4476"/>
    <w:rsid w:val="008D4DB9"/>
    <w:rsid w:val="008D4E30"/>
    <w:rsid w:val="008D5466"/>
    <w:rsid w:val="008D6D37"/>
    <w:rsid w:val="008E05ED"/>
    <w:rsid w:val="008E3039"/>
    <w:rsid w:val="008E4A56"/>
    <w:rsid w:val="008E57B8"/>
    <w:rsid w:val="008E6DBA"/>
    <w:rsid w:val="008E7117"/>
    <w:rsid w:val="008E76A5"/>
    <w:rsid w:val="008F1AA3"/>
    <w:rsid w:val="008F29F4"/>
    <w:rsid w:val="008F5BCC"/>
    <w:rsid w:val="008F6B37"/>
    <w:rsid w:val="008F7031"/>
    <w:rsid w:val="008F74E9"/>
    <w:rsid w:val="008F7568"/>
    <w:rsid w:val="008F76FF"/>
    <w:rsid w:val="00901062"/>
    <w:rsid w:val="009028B0"/>
    <w:rsid w:val="00902D68"/>
    <w:rsid w:val="009035D4"/>
    <w:rsid w:val="009044C6"/>
    <w:rsid w:val="00906C15"/>
    <w:rsid w:val="0090755B"/>
    <w:rsid w:val="00912718"/>
    <w:rsid w:val="00912F5C"/>
    <w:rsid w:val="0091328F"/>
    <w:rsid w:val="0091335F"/>
    <w:rsid w:val="00913D71"/>
    <w:rsid w:val="0091413D"/>
    <w:rsid w:val="00915002"/>
    <w:rsid w:val="00915244"/>
    <w:rsid w:val="00915A38"/>
    <w:rsid w:val="0092224F"/>
    <w:rsid w:val="009228ED"/>
    <w:rsid w:val="0092296A"/>
    <w:rsid w:val="00922F18"/>
    <w:rsid w:val="00923462"/>
    <w:rsid w:val="00924D71"/>
    <w:rsid w:val="00924EF1"/>
    <w:rsid w:val="0092614C"/>
    <w:rsid w:val="009268FA"/>
    <w:rsid w:val="00927175"/>
    <w:rsid w:val="00927DDB"/>
    <w:rsid w:val="00930660"/>
    <w:rsid w:val="00930A39"/>
    <w:rsid w:val="009321B7"/>
    <w:rsid w:val="00932279"/>
    <w:rsid w:val="009328BA"/>
    <w:rsid w:val="009329C6"/>
    <w:rsid w:val="00932B2E"/>
    <w:rsid w:val="00933301"/>
    <w:rsid w:val="009336E7"/>
    <w:rsid w:val="00934C2A"/>
    <w:rsid w:val="00936E3D"/>
    <w:rsid w:val="00937870"/>
    <w:rsid w:val="00941452"/>
    <w:rsid w:val="009423A4"/>
    <w:rsid w:val="009438FA"/>
    <w:rsid w:val="00944E1B"/>
    <w:rsid w:val="00945724"/>
    <w:rsid w:val="00946409"/>
    <w:rsid w:val="009478AD"/>
    <w:rsid w:val="00950A7F"/>
    <w:rsid w:val="009511E8"/>
    <w:rsid w:val="0095186B"/>
    <w:rsid w:val="009544BD"/>
    <w:rsid w:val="009576B8"/>
    <w:rsid w:val="00960C7D"/>
    <w:rsid w:val="0096100E"/>
    <w:rsid w:val="0096102C"/>
    <w:rsid w:val="00962130"/>
    <w:rsid w:val="009621DB"/>
    <w:rsid w:val="009633C6"/>
    <w:rsid w:val="0096452C"/>
    <w:rsid w:val="0096683A"/>
    <w:rsid w:val="00966E00"/>
    <w:rsid w:val="009704DA"/>
    <w:rsid w:val="00971214"/>
    <w:rsid w:val="00971F11"/>
    <w:rsid w:val="0097367C"/>
    <w:rsid w:val="00973926"/>
    <w:rsid w:val="00975CCD"/>
    <w:rsid w:val="00976535"/>
    <w:rsid w:val="009767F9"/>
    <w:rsid w:val="009768B1"/>
    <w:rsid w:val="00976DAC"/>
    <w:rsid w:val="00980796"/>
    <w:rsid w:val="0098089F"/>
    <w:rsid w:val="009815F3"/>
    <w:rsid w:val="009826EC"/>
    <w:rsid w:val="00983F9C"/>
    <w:rsid w:val="0098718A"/>
    <w:rsid w:val="00990762"/>
    <w:rsid w:val="00990963"/>
    <w:rsid w:val="00990A56"/>
    <w:rsid w:val="009944F5"/>
    <w:rsid w:val="009951C2"/>
    <w:rsid w:val="00995DA8"/>
    <w:rsid w:val="009A0D35"/>
    <w:rsid w:val="009A1965"/>
    <w:rsid w:val="009A22ED"/>
    <w:rsid w:val="009A22F0"/>
    <w:rsid w:val="009A3625"/>
    <w:rsid w:val="009A3754"/>
    <w:rsid w:val="009A3AC9"/>
    <w:rsid w:val="009A3F24"/>
    <w:rsid w:val="009A4D69"/>
    <w:rsid w:val="009A5ABA"/>
    <w:rsid w:val="009A6D12"/>
    <w:rsid w:val="009B07D5"/>
    <w:rsid w:val="009B1B38"/>
    <w:rsid w:val="009B1FA3"/>
    <w:rsid w:val="009B2522"/>
    <w:rsid w:val="009B478E"/>
    <w:rsid w:val="009B5148"/>
    <w:rsid w:val="009B522D"/>
    <w:rsid w:val="009B598E"/>
    <w:rsid w:val="009B6F22"/>
    <w:rsid w:val="009B72CA"/>
    <w:rsid w:val="009B7B5E"/>
    <w:rsid w:val="009C046D"/>
    <w:rsid w:val="009C10ED"/>
    <w:rsid w:val="009C1FCF"/>
    <w:rsid w:val="009C2FD8"/>
    <w:rsid w:val="009C43AC"/>
    <w:rsid w:val="009C5BEC"/>
    <w:rsid w:val="009C5C37"/>
    <w:rsid w:val="009C5CEF"/>
    <w:rsid w:val="009C6081"/>
    <w:rsid w:val="009C6337"/>
    <w:rsid w:val="009C70CC"/>
    <w:rsid w:val="009D011E"/>
    <w:rsid w:val="009D11D2"/>
    <w:rsid w:val="009D181E"/>
    <w:rsid w:val="009D519E"/>
    <w:rsid w:val="009D5502"/>
    <w:rsid w:val="009D7F5A"/>
    <w:rsid w:val="009E0856"/>
    <w:rsid w:val="009E0927"/>
    <w:rsid w:val="009E26FE"/>
    <w:rsid w:val="009E29A3"/>
    <w:rsid w:val="009E2D17"/>
    <w:rsid w:val="009E2F7E"/>
    <w:rsid w:val="009E306B"/>
    <w:rsid w:val="009E3AF8"/>
    <w:rsid w:val="009E553A"/>
    <w:rsid w:val="009E5715"/>
    <w:rsid w:val="009E5E2F"/>
    <w:rsid w:val="009E7168"/>
    <w:rsid w:val="009E738A"/>
    <w:rsid w:val="009E73A4"/>
    <w:rsid w:val="009E7ADD"/>
    <w:rsid w:val="009E7B82"/>
    <w:rsid w:val="009E7F07"/>
    <w:rsid w:val="009F05B8"/>
    <w:rsid w:val="009F080D"/>
    <w:rsid w:val="009F0F41"/>
    <w:rsid w:val="009F209E"/>
    <w:rsid w:val="009F3781"/>
    <w:rsid w:val="009F39AD"/>
    <w:rsid w:val="009F3BCA"/>
    <w:rsid w:val="009F5296"/>
    <w:rsid w:val="009F70EA"/>
    <w:rsid w:val="00A00DBD"/>
    <w:rsid w:val="00A018E6"/>
    <w:rsid w:val="00A02A8B"/>
    <w:rsid w:val="00A071AA"/>
    <w:rsid w:val="00A104B0"/>
    <w:rsid w:val="00A11290"/>
    <w:rsid w:val="00A12243"/>
    <w:rsid w:val="00A164D2"/>
    <w:rsid w:val="00A16801"/>
    <w:rsid w:val="00A16DFB"/>
    <w:rsid w:val="00A16F8A"/>
    <w:rsid w:val="00A170A6"/>
    <w:rsid w:val="00A20392"/>
    <w:rsid w:val="00A20602"/>
    <w:rsid w:val="00A24BCB"/>
    <w:rsid w:val="00A25118"/>
    <w:rsid w:val="00A271DF"/>
    <w:rsid w:val="00A27E96"/>
    <w:rsid w:val="00A3003F"/>
    <w:rsid w:val="00A302FC"/>
    <w:rsid w:val="00A306B4"/>
    <w:rsid w:val="00A31896"/>
    <w:rsid w:val="00A31C43"/>
    <w:rsid w:val="00A31F08"/>
    <w:rsid w:val="00A31F16"/>
    <w:rsid w:val="00A33478"/>
    <w:rsid w:val="00A33736"/>
    <w:rsid w:val="00A337FE"/>
    <w:rsid w:val="00A33D3B"/>
    <w:rsid w:val="00A35EF2"/>
    <w:rsid w:val="00A366FB"/>
    <w:rsid w:val="00A36B30"/>
    <w:rsid w:val="00A37D2D"/>
    <w:rsid w:val="00A40621"/>
    <w:rsid w:val="00A4183A"/>
    <w:rsid w:val="00A419EC"/>
    <w:rsid w:val="00A425A0"/>
    <w:rsid w:val="00A43179"/>
    <w:rsid w:val="00A4363E"/>
    <w:rsid w:val="00A4536A"/>
    <w:rsid w:val="00A4564F"/>
    <w:rsid w:val="00A45F4A"/>
    <w:rsid w:val="00A46CFE"/>
    <w:rsid w:val="00A508C9"/>
    <w:rsid w:val="00A53F27"/>
    <w:rsid w:val="00A55415"/>
    <w:rsid w:val="00A557D3"/>
    <w:rsid w:val="00A56281"/>
    <w:rsid w:val="00A6101D"/>
    <w:rsid w:val="00A6119C"/>
    <w:rsid w:val="00A62370"/>
    <w:rsid w:val="00A65161"/>
    <w:rsid w:val="00A67BF6"/>
    <w:rsid w:val="00A70819"/>
    <w:rsid w:val="00A71A98"/>
    <w:rsid w:val="00A71DEF"/>
    <w:rsid w:val="00A71E3A"/>
    <w:rsid w:val="00A730BC"/>
    <w:rsid w:val="00A730D8"/>
    <w:rsid w:val="00A73A55"/>
    <w:rsid w:val="00A74706"/>
    <w:rsid w:val="00A75709"/>
    <w:rsid w:val="00A80099"/>
    <w:rsid w:val="00A80370"/>
    <w:rsid w:val="00A806A3"/>
    <w:rsid w:val="00A80806"/>
    <w:rsid w:val="00A814C0"/>
    <w:rsid w:val="00A84DE6"/>
    <w:rsid w:val="00A900E0"/>
    <w:rsid w:val="00A9296C"/>
    <w:rsid w:val="00A945DC"/>
    <w:rsid w:val="00A94A7E"/>
    <w:rsid w:val="00A960BD"/>
    <w:rsid w:val="00A96DBE"/>
    <w:rsid w:val="00A96DF1"/>
    <w:rsid w:val="00A97C44"/>
    <w:rsid w:val="00AA002E"/>
    <w:rsid w:val="00AA1D69"/>
    <w:rsid w:val="00AA2C4B"/>
    <w:rsid w:val="00AA3271"/>
    <w:rsid w:val="00AA3E72"/>
    <w:rsid w:val="00AA4C7E"/>
    <w:rsid w:val="00AA57CF"/>
    <w:rsid w:val="00AA58CD"/>
    <w:rsid w:val="00AA5A03"/>
    <w:rsid w:val="00AA5A56"/>
    <w:rsid w:val="00AA5D48"/>
    <w:rsid w:val="00AA660A"/>
    <w:rsid w:val="00AA6888"/>
    <w:rsid w:val="00AA6A9E"/>
    <w:rsid w:val="00AA7F0B"/>
    <w:rsid w:val="00AB08CE"/>
    <w:rsid w:val="00AB0B20"/>
    <w:rsid w:val="00AB0D31"/>
    <w:rsid w:val="00AB1945"/>
    <w:rsid w:val="00AB1C13"/>
    <w:rsid w:val="00AB298A"/>
    <w:rsid w:val="00AB3790"/>
    <w:rsid w:val="00AB3894"/>
    <w:rsid w:val="00AB3B95"/>
    <w:rsid w:val="00AB5438"/>
    <w:rsid w:val="00AB794C"/>
    <w:rsid w:val="00AC119E"/>
    <w:rsid w:val="00AC12D5"/>
    <w:rsid w:val="00AC20B7"/>
    <w:rsid w:val="00AC2627"/>
    <w:rsid w:val="00AC35EC"/>
    <w:rsid w:val="00AC61FB"/>
    <w:rsid w:val="00AC75CE"/>
    <w:rsid w:val="00AC7703"/>
    <w:rsid w:val="00AC7F49"/>
    <w:rsid w:val="00AD0154"/>
    <w:rsid w:val="00AD1AAF"/>
    <w:rsid w:val="00AD2233"/>
    <w:rsid w:val="00AD2C48"/>
    <w:rsid w:val="00AD3422"/>
    <w:rsid w:val="00AD3714"/>
    <w:rsid w:val="00AD37E5"/>
    <w:rsid w:val="00AD44B3"/>
    <w:rsid w:val="00AD5335"/>
    <w:rsid w:val="00AD5BDC"/>
    <w:rsid w:val="00AD5E42"/>
    <w:rsid w:val="00AD6B97"/>
    <w:rsid w:val="00AD7283"/>
    <w:rsid w:val="00AE1236"/>
    <w:rsid w:val="00AE1330"/>
    <w:rsid w:val="00AE18C1"/>
    <w:rsid w:val="00AE2236"/>
    <w:rsid w:val="00AE250E"/>
    <w:rsid w:val="00AE3B07"/>
    <w:rsid w:val="00AE408E"/>
    <w:rsid w:val="00AE487F"/>
    <w:rsid w:val="00AE7974"/>
    <w:rsid w:val="00AF0C85"/>
    <w:rsid w:val="00AF0F5E"/>
    <w:rsid w:val="00AF1362"/>
    <w:rsid w:val="00AF3EB7"/>
    <w:rsid w:val="00AF440A"/>
    <w:rsid w:val="00AF5507"/>
    <w:rsid w:val="00AF55FD"/>
    <w:rsid w:val="00AF5A0A"/>
    <w:rsid w:val="00AF64F9"/>
    <w:rsid w:val="00AF6647"/>
    <w:rsid w:val="00AF6E2D"/>
    <w:rsid w:val="00B00241"/>
    <w:rsid w:val="00B008D8"/>
    <w:rsid w:val="00B00ECA"/>
    <w:rsid w:val="00B0173C"/>
    <w:rsid w:val="00B03724"/>
    <w:rsid w:val="00B04AEB"/>
    <w:rsid w:val="00B11187"/>
    <w:rsid w:val="00B11835"/>
    <w:rsid w:val="00B11EA4"/>
    <w:rsid w:val="00B12C07"/>
    <w:rsid w:val="00B135D1"/>
    <w:rsid w:val="00B13832"/>
    <w:rsid w:val="00B148CE"/>
    <w:rsid w:val="00B156C5"/>
    <w:rsid w:val="00B1602B"/>
    <w:rsid w:val="00B16CA1"/>
    <w:rsid w:val="00B200A4"/>
    <w:rsid w:val="00B20365"/>
    <w:rsid w:val="00B209C6"/>
    <w:rsid w:val="00B22123"/>
    <w:rsid w:val="00B22CB1"/>
    <w:rsid w:val="00B22EA0"/>
    <w:rsid w:val="00B23288"/>
    <w:rsid w:val="00B24538"/>
    <w:rsid w:val="00B2609A"/>
    <w:rsid w:val="00B2666D"/>
    <w:rsid w:val="00B27AF8"/>
    <w:rsid w:val="00B31CFA"/>
    <w:rsid w:val="00B32C0B"/>
    <w:rsid w:val="00B33F78"/>
    <w:rsid w:val="00B360F9"/>
    <w:rsid w:val="00B37156"/>
    <w:rsid w:val="00B37FB7"/>
    <w:rsid w:val="00B4087B"/>
    <w:rsid w:val="00B40A5D"/>
    <w:rsid w:val="00B42AB7"/>
    <w:rsid w:val="00B434AE"/>
    <w:rsid w:val="00B446E6"/>
    <w:rsid w:val="00B449A0"/>
    <w:rsid w:val="00B44C33"/>
    <w:rsid w:val="00B45AD2"/>
    <w:rsid w:val="00B46EAF"/>
    <w:rsid w:val="00B4716F"/>
    <w:rsid w:val="00B5392A"/>
    <w:rsid w:val="00B5407B"/>
    <w:rsid w:val="00B546B3"/>
    <w:rsid w:val="00B54C07"/>
    <w:rsid w:val="00B57B46"/>
    <w:rsid w:val="00B60BC9"/>
    <w:rsid w:val="00B610ED"/>
    <w:rsid w:val="00B61B70"/>
    <w:rsid w:val="00B621E4"/>
    <w:rsid w:val="00B63682"/>
    <w:rsid w:val="00B643C1"/>
    <w:rsid w:val="00B64DF9"/>
    <w:rsid w:val="00B6615C"/>
    <w:rsid w:val="00B70DB1"/>
    <w:rsid w:val="00B70E5D"/>
    <w:rsid w:val="00B70F2A"/>
    <w:rsid w:val="00B71CCC"/>
    <w:rsid w:val="00B72A9C"/>
    <w:rsid w:val="00B72ABF"/>
    <w:rsid w:val="00B72CDB"/>
    <w:rsid w:val="00B7315F"/>
    <w:rsid w:val="00B737E3"/>
    <w:rsid w:val="00B74379"/>
    <w:rsid w:val="00B7501E"/>
    <w:rsid w:val="00B7579C"/>
    <w:rsid w:val="00B76428"/>
    <w:rsid w:val="00B77795"/>
    <w:rsid w:val="00B77CC8"/>
    <w:rsid w:val="00B813CC"/>
    <w:rsid w:val="00B816A9"/>
    <w:rsid w:val="00B818B4"/>
    <w:rsid w:val="00B8388C"/>
    <w:rsid w:val="00B8395B"/>
    <w:rsid w:val="00B86CD8"/>
    <w:rsid w:val="00B87662"/>
    <w:rsid w:val="00B9014F"/>
    <w:rsid w:val="00B90ECC"/>
    <w:rsid w:val="00B9328A"/>
    <w:rsid w:val="00B94285"/>
    <w:rsid w:val="00B947D3"/>
    <w:rsid w:val="00B94DE1"/>
    <w:rsid w:val="00B97359"/>
    <w:rsid w:val="00B97E99"/>
    <w:rsid w:val="00B97EAF"/>
    <w:rsid w:val="00BA1537"/>
    <w:rsid w:val="00BA176C"/>
    <w:rsid w:val="00BA1B90"/>
    <w:rsid w:val="00BA1FEF"/>
    <w:rsid w:val="00BA3901"/>
    <w:rsid w:val="00BA41BA"/>
    <w:rsid w:val="00BA58BC"/>
    <w:rsid w:val="00BA69D9"/>
    <w:rsid w:val="00BA7CAB"/>
    <w:rsid w:val="00BB0156"/>
    <w:rsid w:val="00BB1DAF"/>
    <w:rsid w:val="00BB1EED"/>
    <w:rsid w:val="00BB3971"/>
    <w:rsid w:val="00BB3FC3"/>
    <w:rsid w:val="00BB451F"/>
    <w:rsid w:val="00BB45BE"/>
    <w:rsid w:val="00BB66DB"/>
    <w:rsid w:val="00BB6AAF"/>
    <w:rsid w:val="00BB7153"/>
    <w:rsid w:val="00BC00FC"/>
    <w:rsid w:val="00BC01C5"/>
    <w:rsid w:val="00BC074A"/>
    <w:rsid w:val="00BC0EA7"/>
    <w:rsid w:val="00BC21E1"/>
    <w:rsid w:val="00BC26D1"/>
    <w:rsid w:val="00BC31D4"/>
    <w:rsid w:val="00BC4205"/>
    <w:rsid w:val="00BC42A5"/>
    <w:rsid w:val="00BC42D1"/>
    <w:rsid w:val="00BC488B"/>
    <w:rsid w:val="00BC535B"/>
    <w:rsid w:val="00BC5519"/>
    <w:rsid w:val="00BC566D"/>
    <w:rsid w:val="00BC6029"/>
    <w:rsid w:val="00BC76FE"/>
    <w:rsid w:val="00BC78D9"/>
    <w:rsid w:val="00BD03AF"/>
    <w:rsid w:val="00BD10CF"/>
    <w:rsid w:val="00BD22D2"/>
    <w:rsid w:val="00BD3397"/>
    <w:rsid w:val="00BD3BD4"/>
    <w:rsid w:val="00BD6088"/>
    <w:rsid w:val="00BD6255"/>
    <w:rsid w:val="00BD6585"/>
    <w:rsid w:val="00BD6F24"/>
    <w:rsid w:val="00BD71B1"/>
    <w:rsid w:val="00BD740B"/>
    <w:rsid w:val="00BD78A4"/>
    <w:rsid w:val="00BE03E8"/>
    <w:rsid w:val="00BE05DF"/>
    <w:rsid w:val="00BE0ABA"/>
    <w:rsid w:val="00BE1349"/>
    <w:rsid w:val="00BE1C26"/>
    <w:rsid w:val="00BE1DB8"/>
    <w:rsid w:val="00BE3AC7"/>
    <w:rsid w:val="00BE5E5C"/>
    <w:rsid w:val="00BE7B5C"/>
    <w:rsid w:val="00BE7EE7"/>
    <w:rsid w:val="00BF11F5"/>
    <w:rsid w:val="00BF1959"/>
    <w:rsid w:val="00BF24F0"/>
    <w:rsid w:val="00BF3080"/>
    <w:rsid w:val="00BF33B3"/>
    <w:rsid w:val="00BF49B4"/>
    <w:rsid w:val="00BF6452"/>
    <w:rsid w:val="00C00496"/>
    <w:rsid w:val="00C0377E"/>
    <w:rsid w:val="00C04580"/>
    <w:rsid w:val="00C04CDE"/>
    <w:rsid w:val="00C054FB"/>
    <w:rsid w:val="00C05B29"/>
    <w:rsid w:val="00C0606C"/>
    <w:rsid w:val="00C06141"/>
    <w:rsid w:val="00C078C0"/>
    <w:rsid w:val="00C07909"/>
    <w:rsid w:val="00C07DF2"/>
    <w:rsid w:val="00C10176"/>
    <w:rsid w:val="00C104F1"/>
    <w:rsid w:val="00C11D0B"/>
    <w:rsid w:val="00C13417"/>
    <w:rsid w:val="00C1354F"/>
    <w:rsid w:val="00C140B1"/>
    <w:rsid w:val="00C14177"/>
    <w:rsid w:val="00C14DFB"/>
    <w:rsid w:val="00C17591"/>
    <w:rsid w:val="00C212E7"/>
    <w:rsid w:val="00C21934"/>
    <w:rsid w:val="00C21FFC"/>
    <w:rsid w:val="00C226AE"/>
    <w:rsid w:val="00C230EA"/>
    <w:rsid w:val="00C25D39"/>
    <w:rsid w:val="00C26766"/>
    <w:rsid w:val="00C26AF0"/>
    <w:rsid w:val="00C279CA"/>
    <w:rsid w:val="00C315C2"/>
    <w:rsid w:val="00C315CA"/>
    <w:rsid w:val="00C33761"/>
    <w:rsid w:val="00C33D83"/>
    <w:rsid w:val="00C34792"/>
    <w:rsid w:val="00C36F42"/>
    <w:rsid w:val="00C37A9E"/>
    <w:rsid w:val="00C42121"/>
    <w:rsid w:val="00C4301C"/>
    <w:rsid w:val="00C44274"/>
    <w:rsid w:val="00C4509C"/>
    <w:rsid w:val="00C47DFB"/>
    <w:rsid w:val="00C51A6F"/>
    <w:rsid w:val="00C5210A"/>
    <w:rsid w:val="00C53E06"/>
    <w:rsid w:val="00C54115"/>
    <w:rsid w:val="00C54321"/>
    <w:rsid w:val="00C544F9"/>
    <w:rsid w:val="00C5544B"/>
    <w:rsid w:val="00C55935"/>
    <w:rsid w:val="00C56810"/>
    <w:rsid w:val="00C56F9C"/>
    <w:rsid w:val="00C56FFD"/>
    <w:rsid w:val="00C57A15"/>
    <w:rsid w:val="00C64500"/>
    <w:rsid w:val="00C66177"/>
    <w:rsid w:val="00C6681D"/>
    <w:rsid w:val="00C66FEE"/>
    <w:rsid w:val="00C670A0"/>
    <w:rsid w:val="00C672FD"/>
    <w:rsid w:val="00C67A6F"/>
    <w:rsid w:val="00C74D92"/>
    <w:rsid w:val="00C7638C"/>
    <w:rsid w:val="00C768CE"/>
    <w:rsid w:val="00C76E4B"/>
    <w:rsid w:val="00C7759B"/>
    <w:rsid w:val="00C843B8"/>
    <w:rsid w:val="00C849C0"/>
    <w:rsid w:val="00C85735"/>
    <w:rsid w:val="00C86613"/>
    <w:rsid w:val="00C86C1D"/>
    <w:rsid w:val="00C875A8"/>
    <w:rsid w:val="00C93BAC"/>
    <w:rsid w:val="00C952C9"/>
    <w:rsid w:val="00C95B8C"/>
    <w:rsid w:val="00C95DCB"/>
    <w:rsid w:val="00CA28B4"/>
    <w:rsid w:val="00CA2F3A"/>
    <w:rsid w:val="00CA3571"/>
    <w:rsid w:val="00CA3900"/>
    <w:rsid w:val="00CA3A73"/>
    <w:rsid w:val="00CA410C"/>
    <w:rsid w:val="00CA42D8"/>
    <w:rsid w:val="00CA45E9"/>
    <w:rsid w:val="00CA51B2"/>
    <w:rsid w:val="00CA672B"/>
    <w:rsid w:val="00CA699A"/>
    <w:rsid w:val="00CA6AFE"/>
    <w:rsid w:val="00CB0195"/>
    <w:rsid w:val="00CB040D"/>
    <w:rsid w:val="00CB0F10"/>
    <w:rsid w:val="00CB1725"/>
    <w:rsid w:val="00CB7076"/>
    <w:rsid w:val="00CB71F0"/>
    <w:rsid w:val="00CC0675"/>
    <w:rsid w:val="00CC1D89"/>
    <w:rsid w:val="00CC20B6"/>
    <w:rsid w:val="00CC3532"/>
    <w:rsid w:val="00CC3FD2"/>
    <w:rsid w:val="00CC4D59"/>
    <w:rsid w:val="00CC5F31"/>
    <w:rsid w:val="00CC6C20"/>
    <w:rsid w:val="00CD0205"/>
    <w:rsid w:val="00CD2474"/>
    <w:rsid w:val="00CD3219"/>
    <w:rsid w:val="00CD353C"/>
    <w:rsid w:val="00CD35F8"/>
    <w:rsid w:val="00CD42BC"/>
    <w:rsid w:val="00CD46FF"/>
    <w:rsid w:val="00CD51A8"/>
    <w:rsid w:val="00CD5C0E"/>
    <w:rsid w:val="00CD5EA2"/>
    <w:rsid w:val="00CD7155"/>
    <w:rsid w:val="00CD79A0"/>
    <w:rsid w:val="00CD7F2A"/>
    <w:rsid w:val="00CE056D"/>
    <w:rsid w:val="00CE0849"/>
    <w:rsid w:val="00CE117C"/>
    <w:rsid w:val="00CE198D"/>
    <w:rsid w:val="00CE390D"/>
    <w:rsid w:val="00CE3AB9"/>
    <w:rsid w:val="00CE43C1"/>
    <w:rsid w:val="00CE51DB"/>
    <w:rsid w:val="00CE6F08"/>
    <w:rsid w:val="00CE74A8"/>
    <w:rsid w:val="00CE7D92"/>
    <w:rsid w:val="00CE7F19"/>
    <w:rsid w:val="00CF066C"/>
    <w:rsid w:val="00CF0ED1"/>
    <w:rsid w:val="00CF1895"/>
    <w:rsid w:val="00CF3333"/>
    <w:rsid w:val="00D00B6E"/>
    <w:rsid w:val="00D0369D"/>
    <w:rsid w:val="00D04A4D"/>
    <w:rsid w:val="00D060AC"/>
    <w:rsid w:val="00D06907"/>
    <w:rsid w:val="00D07346"/>
    <w:rsid w:val="00D07BDA"/>
    <w:rsid w:val="00D107E5"/>
    <w:rsid w:val="00D11574"/>
    <w:rsid w:val="00D1169F"/>
    <w:rsid w:val="00D117C8"/>
    <w:rsid w:val="00D11844"/>
    <w:rsid w:val="00D1297C"/>
    <w:rsid w:val="00D13101"/>
    <w:rsid w:val="00D13441"/>
    <w:rsid w:val="00D13BCB"/>
    <w:rsid w:val="00D1442F"/>
    <w:rsid w:val="00D14B7B"/>
    <w:rsid w:val="00D16699"/>
    <w:rsid w:val="00D16D03"/>
    <w:rsid w:val="00D206B2"/>
    <w:rsid w:val="00D20F8C"/>
    <w:rsid w:val="00D210E4"/>
    <w:rsid w:val="00D232A9"/>
    <w:rsid w:val="00D26F02"/>
    <w:rsid w:val="00D273A8"/>
    <w:rsid w:val="00D305CA"/>
    <w:rsid w:val="00D321AC"/>
    <w:rsid w:val="00D32F41"/>
    <w:rsid w:val="00D33814"/>
    <w:rsid w:val="00D35CBE"/>
    <w:rsid w:val="00D362B8"/>
    <w:rsid w:val="00D36C6C"/>
    <w:rsid w:val="00D376B5"/>
    <w:rsid w:val="00D377FB"/>
    <w:rsid w:val="00D378EC"/>
    <w:rsid w:val="00D403FB"/>
    <w:rsid w:val="00D40F33"/>
    <w:rsid w:val="00D4223F"/>
    <w:rsid w:val="00D43EEB"/>
    <w:rsid w:val="00D44115"/>
    <w:rsid w:val="00D45802"/>
    <w:rsid w:val="00D45F85"/>
    <w:rsid w:val="00D4698B"/>
    <w:rsid w:val="00D46B44"/>
    <w:rsid w:val="00D50CDC"/>
    <w:rsid w:val="00D51172"/>
    <w:rsid w:val="00D51DF2"/>
    <w:rsid w:val="00D523E0"/>
    <w:rsid w:val="00D5488A"/>
    <w:rsid w:val="00D5527F"/>
    <w:rsid w:val="00D55CC9"/>
    <w:rsid w:val="00D5784B"/>
    <w:rsid w:val="00D60AE0"/>
    <w:rsid w:val="00D61E13"/>
    <w:rsid w:val="00D62FF6"/>
    <w:rsid w:val="00D63AF7"/>
    <w:rsid w:val="00D640E3"/>
    <w:rsid w:val="00D6431A"/>
    <w:rsid w:val="00D64376"/>
    <w:rsid w:val="00D6475A"/>
    <w:rsid w:val="00D64B61"/>
    <w:rsid w:val="00D6698B"/>
    <w:rsid w:val="00D66FD0"/>
    <w:rsid w:val="00D70DA5"/>
    <w:rsid w:val="00D71244"/>
    <w:rsid w:val="00D74700"/>
    <w:rsid w:val="00D75550"/>
    <w:rsid w:val="00D76878"/>
    <w:rsid w:val="00D76B4D"/>
    <w:rsid w:val="00D76EC8"/>
    <w:rsid w:val="00D77FC9"/>
    <w:rsid w:val="00D8116D"/>
    <w:rsid w:val="00D815A8"/>
    <w:rsid w:val="00D8195D"/>
    <w:rsid w:val="00D81B63"/>
    <w:rsid w:val="00D82AB7"/>
    <w:rsid w:val="00D82F0F"/>
    <w:rsid w:val="00D8442F"/>
    <w:rsid w:val="00D85880"/>
    <w:rsid w:val="00D8636D"/>
    <w:rsid w:val="00D86754"/>
    <w:rsid w:val="00D87296"/>
    <w:rsid w:val="00D87B56"/>
    <w:rsid w:val="00D87CAD"/>
    <w:rsid w:val="00D90470"/>
    <w:rsid w:val="00D90542"/>
    <w:rsid w:val="00D9416E"/>
    <w:rsid w:val="00D9556C"/>
    <w:rsid w:val="00DA06B9"/>
    <w:rsid w:val="00DA123E"/>
    <w:rsid w:val="00DA2771"/>
    <w:rsid w:val="00DA3C84"/>
    <w:rsid w:val="00DA46D4"/>
    <w:rsid w:val="00DA49AE"/>
    <w:rsid w:val="00DA4F7E"/>
    <w:rsid w:val="00DA52D5"/>
    <w:rsid w:val="00DA5805"/>
    <w:rsid w:val="00DA5966"/>
    <w:rsid w:val="00DA5CC6"/>
    <w:rsid w:val="00DA60CE"/>
    <w:rsid w:val="00DA6917"/>
    <w:rsid w:val="00DA712F"/>
    <w:rsid w:val="00DB1269"/>
    <w:rsid w:val="00DB130A"/>
    <w:rsid w:val="00DB19A7"/>
    <w:rsid w:val="00DB2166"/>
    <w:rsid w:val="00DB2242"/>
    <w:rsid w:val="00DB2675"/>
    <w:rsid w:val="00DB2EE7"/>
    <w:rsid w:val="00DB2F1A"/>
    <w:rsid w:val="00DB43CF"/>
    <w:rsid w:val="00DB648D"/>
    <w:rsid w:val="00DC003D"/>
    <w:rsid w:val="00DC0942"/>
    <w:rsid w:val="00DC2DE3"/>
    <w:rsid w:val="00DC3441"/>
    <w:rsid w:val="00DC432F"/>
    <w:rsid w:val="00DC5245"/>
    <w:rsid w:val="00DC703F"/>
    <w:rsid w:val="00DC7FAC"/>
    <w:rsid w:val="00DD0BA9"/>
    <w:rsid w:val="00DD1008"/>
    <w:rsid w:val="00DD2855"/>
    <w:rsid w:val="00DD2A4B"/>
    <w:rsid w:val="00DD32D0"/>
    <w:rsid w:val="00DD36E1"/>
    <w:rsid w:val="00DD3ABA"/>
    <w:rsid w:val="00DD3CE2"/>
    <w:rsid w:val="00DD3EA9"/>
    <w:rsid w:val="00DD4B50"/>
    <w:rsid w:val="00DD558C"/>
    <w:rsid w:val="00DD5B82"/>
    <w:rsid w:val="00DD640D"/>
    <w:rsid w:val="00DD766D"/>
    <w:rsid w:val="00DD7A5B"/>
    <w:rsid w:val="00DD7BCD"/>
    <w:rsid w:val="00DE059C"/>
    <w:rsid w:val="00DE1B83"/>
    <w:rsid w:val="00DE2162"/>
    <w:rsid w:val="00DE2797"/>
    <w:rsid w:val="00DE30F9"/>
    <w:rsid w:val="00DE35E1"/>
    <w:rsid w:val="00DE3C7A"/>
    <w:rsid w:val="00DE6052"/>
    <w:rsid w:val="00DF0C2E"/>
    <w:rsid w:val="00DF18B0"/>
    <w:rsid w:val="00DF1DF2"/>
    <w:rsid w:val="00DF2ADD"/>
    <w:rsid w:val="00DF4F3C"/>
    <w:rsid w:val="00DF5BF6"/>
    <w:rsid w:val="00DF5E8B"/>
    <w:rsid w:val="00DF6B6A"/>
    <w:rsid w:val="00DF7412"/>
    <w:rsid w:val="00DF7CC1"/>
    <w:rsid w:val="00E0025C"/>
    <w:rsid w:val="00E007DD"/>
    <w:rsid w:val="00E03BF9"/>
    <w:rsid w:val="00E05D8B"/>
    <w:rsid w:val="00E06684"/>
    <w:rsid w:val="00E10412"/>
    <w:rsid w:val="00E10501"/>
    <w:rsid w:val="00E1108D"/>
    <w:rsid w:val="00E113A1"/>
    <w:rsid w:val="00E121CD"/>
    <w:rsid w:val="00E12584"/>
    <w:rsid w:val="00E12AAA"/>
    <w:rsid w:val="00E137CC"/>
    <w:rsid w:val="00E13EBD"/>
    <w:rsid w:val="00E1411E"/>
    <w:rsid w:val="00E14936"/>
    <w:rsid w:val="00E14A71"/>
    <w:rsid w:val="00E14B02"/>
    <w:rsid w:val="00E17701"/>
    <w:rsid w:val="00E20A65"/>
    <w:rsid w:val="00E2355B"/>
    <w:rsid w:val="00E257F5"/>
    <w:rsid w:val="00E26241"/>
    <w:rsid w:val="00E26DB0"/>
    <w:rsid w:val="00E27ADA"/>
    <w:rsid w:val="00E27B74"/>
    <w:rsid w:val="00E27C08"/>
    <w:rsid w:val="00E27C3A"/>
    <w:rsid w:val="00E3020C"/>
    <w:rsid w:val="00E3022C"/>
    <w:rsid w:val="00E3050C"/>
    <w:rsid w:val="00E30690"/>
    <w:rsid w:val="00E30E71"/>
    <w:rsid w:val="00E31331"/>
    <w:rsid w:val="00E31548"/>
    <w:rsid w:val="00E33B0A"/>
    <w:rsid w:val="00E33B11"/>
    <w:rsid w:val="00E35B61"/>
    <w:rsid w:val="00E36A87"/>
    <w:rsid w:val="00E370D4"/>
    <w:rsid w:val="00E371CE"/>
    <w:rsid w:val="00E40859"/>
    <w:rsid w:val="00E40E10"/>
    <w:rsid w:val="00E412DD"/>
    <w:rsid w:val="00E4150C"/>
    <w:rsid w:val="00E43049"/>
    <w:rsid w:val="00E4315F"/>
    <w:rsid w:val="00E4384C"/>
    <w:rsid w:val="00E4431B"/>
    <w:rsid w:val="00E450D7"/>
    <w:rsid w:val="00E45575"/>
    <w:rsid w:val="00E45B1F"/>
    <w:rsid w:val="00E473B5"/>
    <w:rsid w:val="00E476DA"/>
    <w:rsid w:val="00E47760"/>
    <w:rsid w:val="00E52E85"/>
    <w:rsid w:val="00E53DA8"/>
    <w:rsid w:val="00E54370"/>
    <w:rsid w:val="00E55397"/>
    <w:rsid w:val="00E6186C"/>
    <w:rsid w:val="00E61C5E"/>
    <w:rsid w:val="00E61EC0"/>
    <w:rsid w:val="00E626FB"/>
    <w:rsid w:val="00E63C17"/>
    <w:rsid w:val="00E649F7"/>
    <w:rsid w:val="00E65447"/>
    <w:rsid w:val="00E658FD"/>
    <w:rsid w:val="00E65AB2"/>
    <w:rsid w:val="00E66100"/>
    <w:rsid w:val="00E6697C"/>
    <w:rsid w:val="00E67883"/>
    <w:rsid w:val="00E71CF1"/>
    <w:rsid w:val="00E72100"/>
    <w:rsid w:val="00E72657"/>
    <w:rsid w:val="00E72F24"/>
    <w:rsid w:val="00E73C21"/>
    <w:rsid w:val="00E7458C"/>
    <w:rsid w:val="00E754CA"/>
    <w:rsid w:val="00E75DB6"/>
    <w:rsid w:val="00E75FCE"/>
    <w:rsid w:val="00E76428"/>
    <w:rsid w:val="00E76AFC"/>
    <w:rsid w:val="00E77BF0"/>
    <w:rsid w:val="00E80659"/>
    <w:rsid w:val="00E81907"/>
    <w:rsid w:val="00E822A8"/>
    <w:rsid w:val="00E83333"/>
    <w:rsid w:val="00E83963"/>
    <w:rsid w:val="00E844CB"/>
    <w:rsid w:val="00E8451F"/>
    <w:rsid w:val="00E8459D"/>
    <w:rsid w:val="00E849A1"/>
    <w:rsid w:val="00E84EDF"/>
    <w:rsid w:val="00E856C8"/>
    <w:rsid w:val="00E85764"/>
    <w:rsid w:val="00E85B1C"/>
    <w:rsid w:val="00E8601F"/>
    <w:rsid w:val="00E866D6"/>
    <w:rsid w:val="00E870C8"/>
    <w:rsid w:val="00E87259"/>
    <w:rsid w:val="00E879B9"/>
    <w:rsid w:val="00E90F9A"/>
    <w:rsid w:val="00E914AE"/>
    <w:rsid w:val="00E91E53"/>
    <w:rsid w:val="00E947CA"/>
    <w:rsid w:val="00E9504F"/>
    <w:rsid w:val="00E961A3"/>
    <w:rsid w:val="00E964F0"/>
    <w:rsid w:val="00EA0D8A"/>
    <w:rsid w:val="00EA1A41"/>
    <w:rsid w:val="00EA53C3"/>
    <w:rsid w:val="00EA621D"/>
    <w:rsid w:val="00EA6AF3"/>
    <w:rsid w:val="00EA796E"/>
    <w:rsid w:val="00EA7E7E"/>
    <w:rsid w:val="00EB05AD"/>
    <w:rsid w:val="00EB137B"/>
    <w:rsid w:val="00EB2199"/>
    <w:rsid w:val="00EB2A69"/>
    <w:rsid w:val="00EB3E21"/>
    <w:rsid w:val="00EB40B8"/>
    <w:rsid w:val="00EB55CB"/>
    <w:rsid w:val="00EB5698"/>
    <w:rsid w:val="00EB756A"/>
    <w:rsid w:val="00EC0376"/>
    <w:rsid w:val="00EC0A24"/>
    <w:rsid w:val="00EC3422"/>
    <w:rsid w:val="00EC366C"/>
    <w:rsid w:val="00EC62A5"/>
    <w:rsid w:val="00EC7C97"/>
    <w:rsid w:val="00ED0AF7"/>
    <w:rsid w:val="00ED13EC"/>
    <w:rsid w:val="00ED2336"/>
    <w:rsid w:val="00ED2586"/>
    <w:rsid w:val="00ED2697"/>
    <w:rsid w:val="00ED32E8"/>
    <w:rsid w:val="00ED4FE5"/>
    <w:rsid w:val="00ED6435"/>
    <w:rsid w:val="00ED6A4C"/>
    <w:rsid w:val="00ED73F9"/>
    <w:rsid w:val="00EE08DF"/>
    <w:rsid w:val="00EE0961"/>
    <w:rsid w:val="00EE1BCC"/>
    <w:rsid w:val="00EE2731"/>
    <w:rsid w:val="00EE29A2"/>
    <w:rsid w:val="00EE3253"/>
    <w:rsid w:val="00EE4EE0"/>
    <w:rsid w:val="00EE58F0"/>
    <w:rsid w:val="00EE5981"/>
    <w:rsid w:val="00EE71B6"/>
    <w:rsid w:val="00EF01AA"/>
    <w:rsid w:val="00EF095A"/>
    <w:rsid w:val="00EF0B55"/>
    <w:rsid w:val="00EF22C7"/>
    <w:rsid w:val="00EF32BE"/>
    <w:rsid w:val="00EF33E4"/>
    <w:rsid w:val="00EF4F17"/>
    <w:rsid w:val="00EF53AE"/>
    <w:rsid w:val="00EF6010"/>
    <w:rsid w:val="00EF614A"/>
    <w:rsid w:val="00EF6A6C"/>
    <w:rsid w:val="00EF6B48"/>
    <w:rsid w:val="00EF73D5"/>
    <w:rsid w:val="00EF7689"/>
    <w:rsid w:val="00EF7B3A"/>
    <w:rsid w:val="00F0010E"/>
    <w:rsid w:val="00F0107C"/>
    <w:rsid w:val="00F018A2"/>
    <w:rsid w:val="00F03190"/>
    <w:rsid w:val="00F0373C"/>
    <w:rsid w:val="00F03D69"/>
    <w:rsid w:val="00F04162"/>
    <w:rsid w:val="00F04E88"/>
    <w:rsid w:val="00F065E7"/>
    <w:rsid w:val="00F06B9D"/>
    <w:rsid w:val="00F10D3D"/>
    <w:rsid w:val="00F1134D"/>
    <w:rsid w:val="00F1174A"/>
    <w:rsid w:val="00F12629"/>
    <w:rsid w:val="00F12D2E"/>
    <w:rsid w:val="00F12D4D"/>
    <w:rsid w:val="00F14B5A"/>
    <w:rsid w:val="00F151E9"/>
    <w:rsid w:val="00F155A2"/>
    <w:rsid w:val="00F15E42"/>
    <w:rsid w:val="00F17D22"/>
    <w:rsid w:val="00F23FD4"/>
    <w:rsid w:val="00F252C3"/>
    <w:rsid w:val="00F253F6"/>
    <w:rsid w:val="00F319D2"/>
    <w:rsid w:val="00F33052"/>
    <w:rsid w:val="00F35301"/>
    <w:rsid w:val="00F364C0"/>
    <w:rsid w:val="00F40220"/>
    <w:rsid w:val="00F41BC0"/>
    <w:rsid w:val="00F42885"/>
    <w:rsid w:val="00F43F3A"/>
    <w:rsid w:val="00F44236"/>
    <w:rsid w:val="00F4481F"/>
    <w:rsid w:val="00F45328"/>
    <w:rsid w:val="00F477C5"/>
    <w:rsid w:val="00F50C5D"/>
    <w:rsid w:val="00F52B03"/>
    <w:rsid w:val="00F532F8"/>
    <w:rsid w:val="00F54D98"/>
    <w:rsid w:val="00F55E76"/>
    <w:rsid w:val="00F56BFC"/>
    <w:rsid w:val="00F56FE9"/>
    <w:rsid w:val="00F57B9A"/>
    <w:rsid w:val="00F61EFE"/>
    <w:rsid w:val="00F6265E"/>
    <w:rsid w:val="00F64801"/>
    <w:rsid w:val="00F65801"/>
    <w:rsid w:val="00F65E03"/>
    <w:rsid w:val="00F66940"/>
    <w:rsid w:val="00F6779E"/>
    <w:rsid w:val="00F71904"/>
    <w:rsid w:val="00F71FD2"/>
    <w:rsid w:val="00F73021"/>
    <w:rsid w:val="00F73C94"/>
    <w:rsid w:val="00F73D28"/>
    <w:rsid w:val="00F7489E"/>
    <w:rsid w:val="00F75586"/>
    <w:rsid w:val="00F7655A"/>
    <w:rsid w:val="00F77B9A"/>
    <w:rsid w:val="00F77D29"/>
    <w:rsid w:val="00F80DDC"/>
    <w:rsid w:val="00F81E98"/>
    <w:rsid w:val="00F82584"/>
    <w:rsid w:val="00F83D43"/>
    <w:rsid w:val="00F8412E"/>
    <w:rsid w:val="00F84D32"/>
    <w:rsid w:val="00F852A5"/>
    <w:rsid w:val="00F85427"/>
    <w:rsid w:val="00F8543F"/>
    <w:rsid w:val="00F85A57"/>
    <w:rsid w:val="00F85F02"/>
    <w:rsid w:val="00F86436"/>
    <w:rsid w:val="00F86ADC"/>
    <w:rsid w:val="00F879BA"/>
    <w:rsid w:val="00F9023D"/>
    <w:rsid w:val="00F92499"/>
    <w:rsid w:val="00F93792"/>
    <w:rsid w:val="00F937C8"/>
    <w:rsid w:val="00F93A5D"/>
    <w:rsid w:val="00F96602"/>
    <w:rsid w:val="00F96B46"/>
    <w:rsid w:val="00FA0289"/>
    <w:rsid w:val="00FA093D"/>
    <w:rsid w:val="00FA1181"/>
    <w:rsid w:val="00FA2B46"/>
    <w:rsid w:val="00FA3DB0"/>
    <w:rsid w:val="00FA3FC4"/>
    <w:rsid w:val="00FA4B04"/>
    <w:rsid w:val="00FA4D7A"/>
    <w:rsid w:val="00FA5BC6"/>
    <w:rsid w:val="00FA69E4"/>
    <w:rsid w:val="00FA72FB"/>
    <w:rsid w:val="00FA759D"/>
    <w:rsid w:val="00FA7F49"/>
    <w:rsid w:val="00FB0A84"/>
    <w:rsid w:val="00FB1377"/>
    <w:rsid w:val="00FB2D9E"/>
    <w:rsid w:val="00FB3914"/>
    <w:rsid w:val="00FB457F"/>
    <w:rsid w:val="00FB5083"/>
    <w:rsid w:val="00FB5D14"/>
    <w:rsid w:val="00FC0C7C"/>
    <w:rsid w:val="00FC2F29"/>
    <w:rsid w:val="00FC3E22"/>
    <w:rsid w:val="00FC3FFF"/>
    <w:rsid w:val="00FC5E4E"/>
    <w:rsid w:val="00FC68FB"/>
    <w:rsid w:val="00FD11C9"/>
    <w:rsid w:val="00FD15A3"/>
    <w:rsid w:val="00FD1D67"/>
    <w:rsid w:val="00FD27DC"/>
    <w:rsid w:val="00FD2BC2"/>
    <w:rsid w:val="00FD4A88"/>
    <w:rsid w:val="00FD4C50"/>
    <w:rsid w:val="00FD4E4B"/>
    <w:rsid w:val="00FD56A2"/>
    <w:rsid w:val="00FD571E"/>
    <w:rsid w:val="00FD6F55"/>
    <w:rsid w:val="00FE1FBB"/>
    <w:rsid w:val="00FE2D42"/>
    <w:rsid w:val="00FE2F50"/>
    <w:rsid w:val="00FE3C9C"/>
    <w:rsid w:val="00FE6190"/>
    <w:rsid w:val="00FE63EA"/>
    <w:rsid w:val="00FE6CD5"/>
    <w:rsid w:val="00FF1634"/>
    <w:rsid w:val="00FF18F1"/>
    <w:rsid w:val="00FF3A5E"/>
    <w:rsid w:val="00FF3C73"/>
    <w:rsid w:val="00FF441F"/>
    <w:rsid w:val="00FF62AE"/>
    <w:rsid w:val="00FF6BCB"/>
    <w:rsid w:val="00FF74A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5CAA3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4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3724DB"/>
    <w:pPr>
      <w:spacing w:after="120"/>
    </w:pPr>
  </w:style>
  <w:style w:type="character" w:customStyle="1" w:styleId="BodyTextChar">
    <w:name w:val="Body Text Char"/>
    <w:basedOn w:val="DefaultParagraphFont"/>
    <w:link w:val="BodyText"/>
    <w:uiPriority w:val="99"/>
    <w:rsid w:val="003724DB"/>
  </w:style>
  <w:style w:type="paragraph" w:styleId="FootnoteText">
    <w:name w:val="footnote text"/>
    <w:basedOn w:val="Normal"/>
    <w:link w:val="FootnoteTextChar"/>
    <w:uiPriority w:val="99"/>
    <w:unhideWhenUsed/>
    <w:rsid w:val="009E0856"/>
  </w:style>
  <w:style w:type="character" w:customStyle="1" w:styleId="FootnoteTextChar">
    <w:name w:val="Footnote Text Char"/>
    <w:basedOn w:val="DefaultParagraphFont"/>
    <w:link w:val="FootnoteText"/>
    <w:uiPriority w:val="99"/>
    <w:rsid w:val="009E0856"/>
  </w:style>
  <w:style w:type="character" w:styleId="FootnoteReference">
    <w:name w:val="footnote reference"/>
    <w:basedOn w:val="DefaultParagraphFont"/>
    <w:uiPriority w:val="99"/>
    <w:unhideWhenUsed/>
    <w:rsid w:val="009E0856"/>
    <w:rPr>
      <w:vertAlign w:val="superscript"/>
    </w:rPr>
  </w:style>
  <w:style w:type="character" w:styleId="Hyperlink">
    <w:name w:val="Hyperlink"/>
    <w:basedOn w:val="DefaultParagraphFont"/>
    <w:uiPriority w:val="99"/>
    <w:unhideWhenUsed/>
    <w:rsid w:val="00041EC2"/>
    <w:rPr>
      <w:color w:val="0000FF" w:themeColor="hyperlink"/>
      <w:u w:val="single"/>
    </w:rPr>
  </w:style>
  <w:style w:type="paragraph" w:styleId="ListParagraph">
    <w:name w:val="List Paragraph"/>
    <w:basedOn w:val="Normal"/>
    <w:uiPriority w:val="34"/>
    <w:qFormat/>
    <w:rsid w:val="001F2C4C"/>
    <w:pPr>
      <w:ind w:left="720"/>
      <w:contextualSpacing/>
    </w:pPr>
  </w:style>
  <w:style w:type="paragraph" w:styleId="Header">
    <w:name w:val="header"/>
    <w:basedOn w:val="Normal"/>
    <w:link w:val="HeaderChar"/>
    <w:uiPriority w:val="99"/>
    <w:unhideWhenUsed/>
    <w:rsid w:val="00E10501"/>
    <w:pPr>
      <w:tabs>
        <w:tab w:val="center" w:pos="4320"/>
        <w:tab w:val="right" w:pos="8640"/>
      </w:tabs>
    </w:pPr>
  </w:style>
  <w:style w:type="character" w:customStyle="1" w:styleId="HeaderChar">
    <w:name w:val="Header Char"/>
    <w:basedOn w:val="DefaultParagraphFont"/>
    <w:link w:val="Header"/>
    <w:uiPriority w:val="99"/>
    <w:rsid w:val="00E10501"/>
  </w:style>
  <w:style w:type="paragraph" w:styleId="Footer">
    <w:name w:val="footer"/>
    <w:basedOn w:val="Normal"/>
    <w:link w:val="FooterChar"/>
    <w:uiPriority w:val="99"/>
    <w:unhideWhenUsed/>
    <w:rsid w:val="00E10501"/>
    <w:pPr>
      <w:tabs>
        <w:tab w:val="center" w:pos="4320"/>
        <w:tab w:val="right" w:pos="8640"/>
      </w:tabs>
    </w:pPr>
  </w:style>
  <w:style w:type="character" w:customStyle="1" w:styleId="FooterChar">
    <w:name w:val="Footer Char"/>
    <w:basedOn w:val="DefaultParagraphFont"/>
    <w:link w:val="Footer"/>
    <w:uiPriority w:val="99"/>
    <w:rsid w:val="00E10501"/>
  </w:style>
  <w:style w:type="paragraph" w:styleId="BalloonText">
    <w:name w:val="Balloon Text"/>
    <w:basedOn w:val="Normal"/>
    <w:link w:val="BalloonTextChar"/>
    <w:uiPriority w:val="99"/>
    <w:semiHidden/>
    <w:unhideWhenUsed/>
    <w:rsid w:val="001B5336"/>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336"/>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4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3724DB"/>
    <w:pPr>
      <w:spacing w:after="120"/>
    </w:pPr>
  </w:style>
  <w:style w:type="character" w:customStyle="1" w:styleId="BodyTextChar">
    <w:name w:val="Body Text Char"/>
    <w:basedOn w:val="DefaultParagraphFont"/>
    <w:link w:val="BodyText"/>
    <w:uiPriority w:val="99"/>
    <w:rsid w:val="003724DB"/>
  </w:style>
  <w:style w:type="paragraph" w:styleId="FootnoteText">
    <w:name w:val="footnote text"/>
    <w:basedOn w:val="Normal"/>
    <w:link w:val="FootnoteTextChar"/>
    <w:uiPriority w:val="99"/>
    <w:unhideWhenUsed/>
    <w:rsid w:val="009E0856"/>
  </w:style>
  <w:style w:type="character" w:customStyle="1" w:styleId="FootnoteTextChar">
    <w:name w:val="Footnote Text Char"/>
    <w:basedOn w:val="DefaultParagraphFont"/>
    <w:link w:val="FootnoteText"/>
    <w:uiPriority w:val="99"/>
    <w:rsid w:val="009E0856"/>
  </w:style>
  <w:style w:type="character" w:styleId="FootnoteReference">
    <w:name w:val="footnote reference"/>
    <w:basedOn w:val="DefaultParagraphFont"/>
    <w:uiPriority w:val="99"/>
    <w:unhideWhenUsed/>
    <w:rsid w:val="009E0856"/>
    <w:rPr>
      <w:vertAlign w:val="superscript"/>
    </w:rPr>
  </w:style>
  <w:style w:type="character" w:styleId="Hyperlink">
    <w:name w:val="Hyperlink"/>
    <w:basedOn w:val="DefaultParagraphFont"/>
    <w:uiPriority w:val="99"/>
    <w:unhideWhenUsed/>
    <w:rsid w:val="00041EC2"/>
    <w:rPr>
      <w:color w:val="0000FF" w:themeColor="hyperlink"/>
      <w:u w:val="single"/>
    </w:rPr>
  </w:style>
  <w:style w:type="paragraph" w:styleId="ListParagraph">
    <w:name w:val="List Paragraph"/>
    <w:basedOn w:val="Normal"/>
    <w:uiPriority w:val="34"/>
    <w:qFormat/>
    <w:rsid w:val="001F2C4C"/>
    <w:pPr>
      <w:ind w:left="720"/>
      <w:contextualSpacing/>
    </w:pPr>
  </w:style>
  <w:style w:type="paragraph" w:styleId="Header">
    <w:name w:val="header"/>
    <w:basedOn w:val="Normal"/>
    <w:link w:val="HeaderChar"/>
    <w:uiPriority w:val="99"/>
    <w:unhideWhenUsed/>
    <w:rsid w:val="00E10501"/>
    <w:pPr>
      <w:tabs>
        <w:tab w:val="center" w:pos="4320"/>
        <w:tab w:val="right" w:pos="8640"/>
      </w:tabs>
    </w:pPr>
  </w:style>
  <w:style w:type="character" w:customStyle="1" w:styleId="HeaderChar">
    <w:name w:val="Header Char"/>
    <w:basedOn w:val="DefaultParagraphFont"/>
    <w:link w:val="Header"/>
    <w:uiPriority w:val="99"/>
    <w:rsid w:val="00E10501"/>
  </w:style>
  <w:style w:type="paragraph" w:styleId="Footer">
    <w:name w:val="footer"/>
    <w:basedOn w:val="Normal"/>
    <w:link w:val="FooterChar"/>
    <w:uiPriority w:val="99"/>
    <w:unhideWhenUsed/>
    <w:rsid w:val="00E10501"/>
    <w:pPr>
      <w:tabs>
        <w:tab w:val="center" w:pos="4320"/>
        <w:tab w:val="right" w:pos="8640"/>
      </w:tabs>
    </w:pPr>
  </w:style>
  <w:style w:type="character" w:customStyle="1" w:styleId="FooterChar">
    <w:name w:val="Footer Char"/>
    <w:basedOn w:val="DefaultParagraphFont"/>
    <w:link w:val="Footer"/>
    <w:uiPriority w:val="99"/>
    <w:rsid w:val="00E10501"/>
  </w:style>
  <w:style w:type="paragraph" w:styleId="BalloonText">
    <w:name w:val="Balloon Text"/>
    <w:basedOn w:val="Normal"/>
    <w:link w:val="BalloonTextChar"/>
    <w:uiPriority w:val="99"/>
    <w:semiHidden/>
    <w:unhideWhenUsed/>
    <w:rsid w:val="001B5336"/>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336"/>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30</Pages>
  <Words>9042</Words>
  <Characters>51543</Characters>
  <Application>Microsoft Macintosh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9 Stone Buildings</Company>
  <LinksUpToDate>false</LinksUpToDate>
  <CharactersWithSpaces>60465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Wilmshurst</dc:creator>
  <cp:lastModifiedBy>Paul Wilmshurst</cp:lastModifiedBy>
  <cp:revision>6</cp:revision>
  <cp:lastPrinted>2014-06-05T10:13:00Z</cp:lastPrinted>
  <dcterms:created xsi:type="dcterms:W3CDTF">2014-06-06T12:43:00Z</dcterms:created>
  <dcterms:modified xsi:type="dcterms:W3CDTF">2014-06-06T12:46:00Z</dcterms:modified>
</cp:coreProperties>
</file>